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C2BBDC" w14:textId="32997042" w:rsidR="00D02AA7" w:rsidRPr="00D02AA7" w:rsidRDefault="00D02AA7" w:rsidP="00D02AA7">
      <w:pPr>
        <w:pStyle w:val="CRCoverPage"/>
        <w:tabs>
          <w:tab w:val="left" w:pos="1980"/>
        </w:tabs>
        <w:rPr>
          <w:rFonts w:ascii="Times New Roman" w:eastAsia="SimSun" w:hAnsi="Times New Roman"/>
          <w:b/>
          <w:sz w:val="24"/>
          <w:lang w:val="en-US" w:eastAsia="zh-CN"/>
        </w:rPr>
      </w:pPr>
      <w:bookmarkStart w:id="0" w:name="_GoBack"/>
      <w:bookmarkEnd w:id="0"/>
      <w:r w:rsidRPr="00D02AA7">
        <w:rPr>
          <w:rFonts w:ascii="Times New Roman" w:eastAsia="SimSun" w:hAnsi="Times New Roman"/>
          <w:b/>
          <w:sz w:val="24"/>
          <w:lang w:val="en-US" w:eastAsia="zh-CN"/>
        </w:rPr>
        <w:t xml:space="preserve">3GPP TSG RAN WG1 Meeting #90                  </w:t>
      </w:r>
      <w:r w:rsidR="00C62A76">
        <w:rPr>
          <w:rFonts w:ascii="Times New Roman" w:eastAsia="SimSun" w:hAnsi="Times New Roman"/>
          <w:b/>
          <w:sz w:val="24"/>
          <w:lang w:val="en-US" w:eastAsia="zh-CN"/>
        </w:rPr>
        <w:t xml:space="preserve">                 </w:t>
      </w:r>
      <w:r w:rsidR="00C62A76">
        <w:rPr>
          <w:rFonts w:ascii="Times New Roman" w:eastAsia="SimSun" w:hAnsi="Times New Roman"/>
          <w:b/>
          <w:sz w:val="24"/>
          <w:lang w:val="en-US" w:eastAsia="zh-CN"/>
        </w:rPr>
        <w:tab/>
        <w:t xml:space="preserve">    R1-1714162</w:t>
      </w:r>
    </w:p>
    <w:p w14:paraId="64B1049B" w14:textId="1D925BCC" w:rsidR="00261092" w:rsidRPr="00AA3833" w:rsidRDefault="00D02AA7" w:rsidP="00D02AA7">
      <w:pPr>
        <w:pStyle w:val="CRCoverPage"/>
        <w:tabs>
          <w:tab w:val="left" w:pos="1980"/>
        </w:tabs>
        <w:jc w:val="both"/>
        <w:rPr>
          <w:rFonts w:ascii="Times New Roman" w:hAnsi="Times New Roman"/>
          <w:b/>
          <w:bCs/>
          <w:sz w:val="24"/>
          <w:lang w:val="en-US"/>
        </w:rPr>
      </w:pPr>
      <w:r w:rsidRPr="00D02AA7">
        <w:rPr>
          <w:rFonts w:ascii="Times New Roman" w:eastAsia="SimSun" w:hAnsi="Times New Roman"/>
          <w:b/>
          <w:sz w:val="24"/>
          <w:lang w:val="en-US" w:eastAsia="zh-CN"/>
        </w:rPr>
        <w:t xml:space="preserve">Prague, </w:t>
      </w:r>
      <w:r w:rsidR="003C25F4" w:rsidRPr="003C25F4">
        <w:rPr>
          <w:rFonts w:ascii="Times New Roman" w:eastAsia="SimSun" w:hAnsi="Times New Roman"/>
          <w:b/>
          <w:sz w:val="24"/>
          <w:lang w:val="en-US" w:eastAsia="zh-CN"/>
        </w:rPr>
        <w:t>Czech Republic</w:t>
      </w:r>
      <w:r w:rsidR="003C25F4">
        <w:rPr>
          <w:rFonts w:ascii="Times New Roman" w:eastAsia="SimSun" w:hAnsi="Times New Roman"/>
          <w:b/>
          <w:sz w:val="24"/>
          <w:lang w:val="en-US" w:eastAsia="zh-CN"/>
        </w:rPr>
        <w:t>,</w:t>
      </w:r>
      <w:r w:rsidR="003C25F4" w:rsidRPr="003C25F4">
        <w:rPr>
          <w:rFonts w:ascii="Times New Roman" w:eastAsia="SimSun" w:hAnsi="Times New Roman"/>
          <w:b/>
          <w:sz w:val="24"/>
          <w:lang w:val="en-US" w:eastAsia="zh-CN"/>
        </w:rPr>
        <w:t xml:space="preserve"> </w:t>
      </w:r>
      <w:r w:rsidR="00CA2AF5">
        <w:rPr>
          <w:rFonts w:ascii="Times New Roman" w:eastAsia="SimSun" w:hAnsi="Times New Roman"/>
          <w:b/>
          <w:sz w:val="24"/>
          <w:lang w:val="en-US" w:eastAsia="zh-CN"/>
        </w:rPr>
        <w:t>21</w:t>
      </w:r>
      <w:r w:rsidR="00CA2AF5" w:rsidRPr="00EB731E">
        <w:rPr>
          <w:rFonts w:ascii="Times New Roman" w:eastAsia="SimSun" w:hAnsi="Times New Roman"/>
          <w:b/>
          <w:sz w:val="24"/>
          <w:vertAlign w:val="superscript"/>
          <w:lang w:val="en-US" w:eastAsia="zh-CN"/>
        </w:rPr>
        <w:t>st</w:t>
      </w:r>
      <w:r w:rsidRPr="00D02AA7">
        <w:rPr>
          <w:rFonts w:ascii="Times New Roman" w:eastAsia="SimSun" w:hAnsi="Times New Roman"/>
          <w:b/>
          <w:sz w:val="24"/>
          <w:lang w:val="en-US" w:eastAsia="zh-CN"/>
        </w:rPr>
        <w:t xml:space="preserve"> – 25</w:t>
      </w:r>
      <w:r w:rsidRPr="00EB731E">
        <w:rPr>
          <w:rFonts w:ascii="Times New Roman" w:eastAsia="SimSun" w:hAnsi="Times New Roman"/>
          <w:b/>
          <w:sz w:val="24"/>
          <w:vertAlign w:val="superscript"/>
          <w:lang w:val="en-US" w:eastAsia="zh-CN"/>
        </w:rPr>
        <w:t>th</w:t>
      </w:r>
      <w:r w:rsidRPr="00D02AA7">
        <w:rPr>
          <w:rFonts w:ascii="Times New Roman" w:eastAsia="SimSun" w:hAnsi="Times New Roman"/>
          <w:b/>
          <w:sz w:val="24"/>
          <w:lang w:val="en-US" w:eastAsia="zh-CN"/>
        </w:rPr>
        <w:t xml:space="preserve"> August 2017</w:t>
      </w:r>
    </w:p>
    <w:p w14:paraId="0D989CAF" w14:textId="77777777" w:rsidR="000E3B9D" w:rsidRDefault="000E3B9D" w:rsidP="00FC6469">
      <w:pPr>
        <w:pStyle w:val="CRCoverPage"/>
        <w:tabs>
          <w:tab w:val="left" w:pos="1980"/>
        </w:tabs>
        <w:jc w:val="both"/>
        <w:rPr>
          <w:rFonts w:ascii="Times New Roman" w:hAnsi="Times New Roman"/>
          <w:b/>
          <w:bCs/>
          <w:sz w:val="24"/>
          <w:lang w:val="en-US"/>
        </w:rPr>
      </w:pPr>
    </w:p>
    <w:p w14:paraId="6FA141D4" w14:textId="79BDC0B9" w:rsidR="00FA20F7" w:rsidRPr="00AA3833" w:rsidRDefault="00FA20F7" w:rsidP="00FC6469">
      <w:pPr>
        <w:pStyle w:val="CRCoverPage"/>
        <w:tabs>
          <w:tab w:val="left" w:pos="1980"/>
        </w:tabs>
        <w:jc w:val="both"/>
        <w:rPr>
          <w:rFonts w:ascii="Times New Roman" w:hAnsi="Times New Roman"/>
          <w:b/>
          <w:bCs/>
          <w:sz w:val="24"/>
          <w:lang w:val="en-US" w:eastAsia="ja-JP"/>
        </w:rPr>
      </w:pPr>
      <w:r w:rsidRPr="00AA3833">
        <w:rPr>
          <w:rFonts w:ascii="Times New Roman" w:hAnsi="Times New Roman"/>
          <w:b/>
          <w:bCs/>
          <w:sz w:val="24"/>
          <w:lang w:val="en-US"/>
        </w:rPr>
        <w:t>Agenda Item:</w:t>
      </w:r>
      <w:r w:rsidRPr="00AA3833">
        <w:rPr>
          <w:rFonts w:ascii="Times New Roman" w:hAnsi="Times New Roman"/>
          <w:b/>
          <w:bCs/>
          <w:sz w:val="24"/>
          <w:lang w:val="en-US"/>
        </w:rPr>
        <w:tab/>
      </w:r>
      <w:r w:rsidR="00AC1F56">
        <w:rPr>
          <w:rFonts w:ascii="Times New Roman" w:hAnsi="Times New Roman"/>
          <w:b/>
          <w:bCs/>
          <w:sz w:val="24"/>
          <w:lang w:val="en-US"/>
        </w:rPr>
        <w:t>6</w:t>
      </w:r>
      <w:r w:rsidR="00E246F8" w:rsidRPr="00AA3833">
        <w:rPr>
          <w:rFonts w:ascii="Times New Roman" w:hAnsi="Times New Roman"/>
          <w:b/>
          <w:bCs/>
          <w:sz w:val="24"/>
          <w:lang w:val="en-US"/>
        </w:rPr>
        <w:t>.</w:t>
      </w:r>
      <w:r w:rsidR="005D69BE" w:rsidRPr="00AA3833">
        <w:rPr>
          <w:rFonts w:ascii="Times New Roman" w:hAnsi="Times New Roman"/>
          <w:b/>
          <w:bCs/>
          <w:sz w:val="24"/>
          <w:lang w:val="en-US"/>
        </w:rPr>
        <w:t>1.</w:t>
      </w:r>
      <w:r w:rsidR="001B70CA">
        <w:rPr>
          <w:rFonts w:ascii="Times New Roman" w:hAnsi="Times New Roman"/>
          <w:b/>
          <w:bCs/>
          <w:sz w:val="24"/>
          <w:lang w:val="en-US"/>
        </w:rPr>
        <w:t>3</w:t>
      </w:r>
      <w:r w:rsidR="005D69BE" w:rsidRPr="00AA3833">
        <w:rPr>
          <w:rFonts w:ascii="Times New Roman" w:hAnsi="Times New Roman"/>
          <w:b/>
          <w:bCs/>
          <w:sz w:val="24"/>
          <w:lang w:val="en-US"/>
        </w:rPr>
        <w:t>.</w:t>
      </w:r>
      <w:r w:rsidR="00BC424F">
        <w:rPr>
          <w:rFonts w:ascii="Times New Roman" w:hAnsi="Times New Roman"/>
          <w:b/>
          <w:bCs/>
          <w:sz w:val="24"/>
          <w:lang w:val="en-US"/>
        </w:rPr>
        <w:t>3.7</w:t>
      </w:r>
      <w:r w:rsidR="001B70CA">
        <w:rPr>
          <w:rFonts w:ascii="Times New Roman" w:hAnsi="Times New Roman"/>
          <w:b/>
          <w:bCs/>
          <w:sz w:val="24"/>
          <w:lang w:val="en-US"/>
        </w:rPr>
        <w:t>.1</w:t>
      </w:r>
    </w:p>
    <w:p w14:paraId="186753AF" w14:textId="3B2BCABE" w:rsidR="00FA20F7" w:rsidRPr="00AA3833" w:rsidRDefault="0092027E" w:rsidP="00FA20F7">
      <w:pPr>
        <w:tabs>
          <w:tab w:val="left" w:pos="1985"/>
        </w:tabs>
        <w:rPr>
          <w:b/>
          <w:bCs/>
          <w:sz w:val="24"/>
          <w:lang w:val="en-US"/>
        </w:rPr>
      </w:pPr>
      <w:r w:rsidRPr="00AA3833">
        <w:rPr>
          <w:b/>
          <w:bCs/>
          <w:sz w:val="24"/>
          <w:lang w:val="en-US"/>
        </w:rPr>
        <w:t>Source:</w:t>
      </w:r>
      <w:r w:rsidRPr="00AA3833">
        <w:rPr>
          <w:b/>
          <w:bCs/>
          <w:sz w:val="24"/>
          <w:lang w:val="en-US"/>
        </w:rPr>
        <w:tab/>
        <w:t>InterDigital</w:t>
      </w:r>
      <w:r w:rsidR="009D597D">
        <w:rPr>
          <w:b/>
          <w:bCs/>
          <w:sz w:val="24"/>
          <w:lang w:val="en-US"/>
        </w:rPr>
        <w:t xml:space="preserve"> </w:t>
      </w:r>
      <w:r w:rsidR="00536C8A">
        <w:rPr>
          <w:b/>
          <w:bCs/>
          <w:sz w:val="24"/>
          <w:lang w:val="en-US"/>
        </w:rPr>
        <w:t>Inc.</w:t>
      </w:r>
    </w:p>
    <w:p w14:paraId="4F02292E" w14:textId="3254A3BA" w:rsidR="00FA20F7" w:rsidRPr="00AA3833" w:rsidRDefault="00FA20F7" w:rsidP="00FA20F7">
      <w:pPr>
        <w:ind w:left="1985" w:hanging="1985"/>
        <w:rPr>
          <w:b/>
          <w:bCs/>
          <w:lang w:val="en-US"/>
        </w:rPr>
      </w:pPr>
      <w:r w:rsidRPr="00AA3833">
        <w:rPr>
          <w:b/>
          <w:bCs/>
          <w:sz w:val="24"/>
          <w:lang w:val="en-US"/>
        </w:rPr>
        <w:t>Title:</w:t>
      </w:r>
      <w:r w:rsidRPr="00AA3833">
        <w:rPr>
          <w:b/>
          <w:bCs/>
          <w:sz w:val="24"/>
          <w:lang w:val="en-US"/>
        </w:rPr>
        <w:tab/>
      </w:r>
      <w:r w:rsidR="003D17ED">
        <w:rPr>
          <w:b/>
          <w:bCs/>
          <w:sz w:val="24"/>
          <w:lang w:val="en-US"/>
        </w:rPr>
        <w:t xml:space="preserve">Remaining details of </w:t>
      </w:r>
      <w:r w:rsidR="00B14C3D">
        <w:rPr>
          <w:b/>
          <w:bCs/>
          <w:sz w:val="24"/>
          <w:lang w:val="en-US"/>
        </w:rPr>
        <w:t>pre-emption</w:t>
      </w:r>
      <w:r w:rsidR="00BC424F" w:rsidRPr="00BC424F">
        <w:rPr>
          <w:b/>
          <w:bCs/>
          <w:sz w:val="24"/>
          <w:lang w:val="en-US"/>
        </w:rPr>
        <w:t xml:space="preserve"> indication</w:t>
      </w:r>
      <w:r w:rsidR="003D17ED">
        <w:rPr>
          <w:b/>
          <w:bCs/>
          <w:sz w:val="24"/>
          <w:lang w:val="en-US"/>
        </w:rPr>
        <w:t xml:space="preserve"> for DL</w:t>
      </w:r>
    </w:p>
    <w:p w14:paraId="20F2A3ED" w14:textId="48C0346C" w:rsidR="00FA20F7" w:rsidRPr="00AA3833" w:rsidRDefault="00A51E32" w:rsidP="00FA20F7">
      <w:pPr>
        <w:ind w:left="1985" w:hanging="1985"/>
        <w:rPr>
          <w:b/>
          <w:bCs/>
          <w:sz w:val="24"/>
          <w:lang w:val="en-US"/>
        </w:rPr>
      </w:pPr>
      <w:r w:rsidRPr="00AA3833">
        <w:rPr>
          <w:b/>
          <w:bCs/>
          <w:sz w:val="24"/>
          <w:lang w:val="en-US"/>
        </w:rPr>
        <w:t>Document for:</w:t>
      </w:r>
      <w:r w:rsidRPr="00AA3833">
        <w:rPr>
          <w:b/>
          <w:bCs/>
          <w:sz w:val="24"/>
          <w:lang w:val="en-US"/>
        </w:rPr>
        <w:tab/>
        <w:t>Discussion</w:t>
      </w:r>
      <w:r w:rsidR="00CD15BB" w:rsidRPr="00AA3833">
        <w:rPr>
          <w:b/>
          <w:bCs/>
          <w:sz w:val="24"/>
          <w:lang w:val="en-US"/>
        </w:rPr>
        <w:t xml:space="preserve"> and Decision</w:t>
      </w:r>
    </w:p>
    <w:p w14:paraId="45A92109" w14:textId="77777777" w:rsidR="00261A3A" w:rsidRPr="00C740A9" w:rsidRDefault="00A35469" w:rsidP="00C34D28">
      <w:pPr>
        <w:pStyle w:val="Heading1"/>
        <w:rPr>
          <w:rFonts w:ascii="Times New Roman" w:hAnsi="Times New Roman"/>
          <w:b/>
          <w:sz w:val="32"/>
          <w:szCs w:val="32"/>
        </w:rPr>
      </w:pPr>
      <w:r w:rsidRPr="00C740A9">
        <w:rPr>
          <w:rFonts w:ascii="Times New Roman" w:hAnsi="Times New Roman"/>
          <w:b/>
          <w:sz w:val="32"/>
          <w:szCs w:val="32"/>
        </w:rPr>
        <w:t>Introduction</w:t>
      </w:r>
    </w:p>
    <w:p w14:paraId="74DD5060" w14:textId="4D2D306C" w:rsidR="004555E3" w:rsidRDefault="00453980" w:rsidP="004555E3">
      <w:pPr>
        <w:rPr>
          <w:szCs w:val="22"/>
        </w:rPr>
      </w:pPr>
      <w:r w:rsidRPr="00AA3833">
        <w:rPr>
          <w:szCs w:val="22"/>
        </w:rPr>
        <w:t>In RAN</w:t>
      </w:r>
      <w:r w:rsidR="004555E3" w:rsidRPr="00AA3833">
        <w:rPr>
          <w:szCs w:val="22"/>
        </w:rPr>
        <w:t>1</w:t>
      </w:r>
      <w:r w:rsidR="003D17ED">
        <w:rPr>
          <w:szCs w:val="22"/>
        </w:rPr>
        <w:t xml:space="preserve"> </w:t>
      </w:r>
      <w:r w:rsidR="003D17ED" w:rsidRPr="003D17ED">
        <w:rPr>
          <w:szCs w:val="22"/>
        </w:rPr>
        <w:t xml:space="preserve">NR Ad-Hoc#2 </w:t>
      </w:r>
      <w:r w:rsidR="005266DD" w:rsidRPr="00AA3833">
        <w:rPr>
          <w:szCs w:val="22"/>
        </w:rPr>
        <w:t xml:space="preserve">Meeting </w:t>
      </w:r>
      <w:r w:rsidR="005266DD" w:rsidRPr="00AA3833">
        <w:rPr>
          <w:szCs w:val="22"/>
        </w:rPr>
        <w:fldChar w:fldCharType="begin"/>
      </w:r>
      <w:r w:rsidR="005266DD" w:rsidRPr="00AA3833">
        <w:rPr>
          <w:szCs w:val="22"/>
        </w:rPr>
        <w:instrText xml:space="preserve"> REF _Ref455734493 \r \h </w:instrText>
      </w:r>
      <w:r w:rsidR="00AA3833">
        <w:rPr>
          <w:szCs w:val="22"/>
        </w:rPr>
        <w:instrText xml:space="preserve"> \* MERGEFORMAT </w:instrText>
      </w:r>
      <w:r w:rsidR="005266DD" w:rsidRPr="00AA3833">
        <w:rPr>
          <w:szCs w:val="22"/>
        </w:rPr>
      </w:r>
      <w:r w:rsidR="005266DD" w:rsidRPr="00AA3833">
        <w:rPr>
          <w:szCs w:val="22"/>
        </w:rPr>
        <w:fldChar w:fldCharType="separate"/>
      </w:r>
      <w:r w:rsidR="005266DD" w:rsidRPr="00AA3833">
        <w:rPr>
          <w:szCs w:val="22"/>
        </w:rPr>
        <w:t>[1]</w:t>
      </w:r>
      <w:r w:rsidR="005266DD" w:rsidRPr="00AA3833">
        <w:rPr>
          <w:szCs w:val="22"/>
        </w:rPr>
        <w:fldChar w:fldCharType="end"/>
      </w:r>
      <w:r w:rsidR="005266DD" w:rsidRPr="00AA3833">
        <w:rPr>
          <w:szCs w:val="22"/>
        </w:rPr>
        <w:t xml:space="preserve">, </w:t>
      </w:r>
      <w:r w:rsidR="00B10F4C">
        <w:rPr>
          <w:szCs w:val="22"/>
        </w:rPr>
        <w:t xml:space="preserve">the following agreements were reached for </w:t>
      </w:r>
      <w:r w:rsidR="003D17ED">
        <w:rPr>
          <w:szCs w:val="22"/>
        </w:rPr>
        <w:t xml:space="preserve">DL </w:t>
      </w:r>
      <w:r w:rsidR="007D40BA">
        <w:rPr>
          <w:szCs w:val="22"/>
        </w:rPr>
        <w:t>pre-emption</w:t>
      </w:r>
      <w:r w:rsidR="00B10F4C">
        <w:rPr>
          <w:szCs w:val="22"/>
        </w:rPr>
        <w:t xml:space="preserve"> indication</w:t>
      </w:r>
      <w:r w:rsidR="00BE64B5">
        <w:rPr>
          <w:szCs w:val="22"/>
        </w:rPr>
        <w:t>:</w:t>
      </w:r>
    </w:p>
    <w:p w14:paraId="2AABD7E3" w14:textId="77777777" w:rsidR="00AC1F56" w:rsidRPr="00AA1C59" w:rsidRDefault="00AC1F56" w:rsidP="00AC1F56">
      <w:pPr>
        <w:rPr>
          <w:rFonts w:eastAsia="MS Mincho"/>
          <w:b/>
          <w:u w:val="single"/>
          <w:lang w:val="en-US" w:eastAsia="ja-JP"/>
        </w:rPr>
      </w:pPr>
      <w:r w:rsidRPr="00AA1C59">
        <w:rPr>
          <w:rFonts w:eastAsia="MS Mincho" w:hint="eastAsia"/>
          <w:b/>
          <w:highlight w:val="green"/>
          <w:u w:val="single"/>
          <w:lang w:val="en-US" w:eastAsia="ja-JP"/>
        </w:rPr>
        <w:t>Agreements:</w:t>
      </w:r>
    </w:p>
    <w:p w14:paraId="1D85E287" w14:textId="213FE84B" w:rsidR="00AC1F56" w:rsidRPr="00AC1F56" w:rsidRDefault="00AC1F56" w:rsidP="00AC1F56">
      <w:pPr>
        <w:numPr>
          <w:ilvl w:val="0"/>
          <w:numId w:val="21"/>
        </w:numPr>
        <w:overflowPunct/>
        <w:autoSpaceDE/>
        <w:autoSpaceDN/>
        <w:adjustRightInd/>
        <w:spacing w:after="0"/>
        <w:jc w:val="left"/>
        <w:textAlignment w:val="auto"/>
        <w:rPr>
          <w:rFonts w:eastAsia="MS Mincho"/>
          <w:i/>
          <w:lang w:val="en-US" w:eastAsia="ja-JP"/>
        </w:rPr>
      </w:pPr>
      <w:r w:rsidRPr="00AC1F56">
        <w:rPr>
          <w:rFonts w:eastAsia="MS Mincho"/>
          <w:i/>
          <w:lang w:val="en-US" w:eastAsia="ja-JP"/>
        </w:rPr>
        <w:t xml:space="preserve">For downlink </w:t>
      </w:r>
      <w:r w:rsidR="00B14C3D">
        <w:rPr>
          <w:rFonts w:eastAsia="MS Mincho"/>
          <w:i/>
          <w:lang w:val="en-US" w:eastAsia="ja-JP"/>
        </w:rPr>
        <w:t>pre-emption</w:t>
      </w:r>
      <w:r w:rsidRPr="00AC1F56">
        <w:rPr>
          <w:rFonts w:eastAsia="MS Mincho"/>
          <w:i/>
          <w:lang w:val="en-US" w:eastAsia="ja-JP"/>
        </w:rPr>
        <w:t xml:space="preserve"> indication</w:t>
      </w:r>
    </w:p>
    <w:p w14:paraId="34501E53" w14:textId="77777777" w:rsidR="00AC1F56" w:rsidRPr="00AC1F56" w:rsidRDefault="00AC1F56" w:rsidP="00AC1F56">
      <w:pPr>
        <w:numPr>
          <w:ilvl w:val="1"/>
          <w:numId w:val="21"/>
        </w:numPr>
        <w:overflowPunct/>
        <w:autoSpaceDE/>
        <w:autoSpaceDN/>
        <w:adjustRightInd/>
        <w:spacing w:after="0"/>
        <w:jc w:val="left"/>
        <w:textAlignment w:val="auto"/>
        <w:rPr>
          <w:rFonts w:eastAsia="MS Mincho"/>
          <w:i/>
          <w:lang w:val="en-US" w:eastAsia="ja-JP"/>
        </w:rPr>
      </w:pPr>
      <w:r w:rsidRPr="00AC1F56">
        <w:rPr>
          <w:rFonts w:eastAsia="MS Mincho"/>
          <w:i/>
          <w:lang w:val="en-US" w:eastAsia="ja-JP"/>
        </w:rPr>
        <w:t>It is transmitted using a group common DCI in PDCCH</w:t>
      </w:r>
    </w:p>
    <w:p w14:paraId="00A8225C" w14:textId="77777777" w:rsidR="00AC1F56" w:rsidRPr="00AC1F56" w:rsidRDefault="00AC1F56" w:rsidP="00AC1F56">
      <w:pPr>
        <w:numPr>
          <w:ilvl w:val="2"/>
          <w:numId w:val="21"/>
        </w:numPr>
        <w:overflowPunct/>
        <w:autoSpaceDE/>
        <w:autoSpaceDN/>
        <w:adjustRightInd/>
        <w:spacing w:after="0"/>
        <w:jc w:val="left"/>
        <w:textAlignment w:val="auto"/>
        <w:rPr>
          <w:rFonts w:eastAsia="MS Mincho"/>
          <w:i/>
          <w:lang w:val="en-US" w:eastAsia="ja-JP"/>
        </w:rPr>
      </w:pPr>
      <w:r w:rsidRPr="00AC1F56">
        <w:rPr>
          <w:rFonts w:eastAsia="MS Mincho"/>
          <w:i/>
          <w:lang w:val="en-US" w:eastAsia="ja-JP"/>
        </w:rPr>
        <w:t>FFS: This group common DCI is transmitted separately from SFI</w:t>
      </w:r>
    </w:p>
    <w:p w14:paraId="4D3ACC7B" w14:textId="65E97518" w:rsidR="00AC1F56" w:rsidRPr="00AC1F56" w:rsidRDefault="00AC1F56" w:rsidP="00AC1F56">
      <w:pPr>
        <w:numPr>
          <w:ilvl w:val="2"/>
          <w:numId w:val="21"/>
        </w:numPr>
        <w:overflowPunct/>
        <w:autoSpaceDE/>
        <w:autoSpaceDN/>
        <w:adjustRightInd/>
        <w:spacing w:after="0"/>
        <w:jc w:val="left"/>
        <w:textAlignment w:val="auto"/>
        <w:rPr>
          <w:rFonts w:eastAsia="MS Mincho"/>
          <w:i/>
          <w:lang w:val="en-US" w:eastAsia="ja-JP"/>
        </w:rPr>
      </w:pPr>
      <w:r w:rsidRPr="00AC1F56">
        <w:rPr>
          <w:rFonts w:eastAsia="MS Mincho"/>
          <w:i/>
          <w:lang w:val="en-US" w:eastAsia="ja-JP"/>
        </w:rPr>
        <w:t xml:space="preserve">Whether a UE needs to monitor </w:t>
      </w:r>
      <w:r w:rsidR="00B14C3D">
        <w:rPr>
          <w:rFonts w:eastAsia="MS Mincho"/>
          <w:i/>
          <w:lang w:val="en-US" w:eastAsia="ja-JP"/>
        </w:rPr>
        <w:t>pre-emption</w:t>
      </w:r>
      <w:r w:rsidRPr="00AC1F56">
        <w:rPr>
          <w:rFonts w:eastAsia="MS Mincho"/>
          <w:i/>
          <w:lang w:val="en-US" w:eastAsia="ja-JP"/>
        </w:rPr>
        <w:t xml:space="preserve"> indication is configured by RRC signaling</w:t>
      </w:r>
    </w:p>
    <w:p w14:paraId="63C37934" w14:textId="113BC6FF" w:rsidR="00AC1F56" w:rsidRPr="00AC1F56" w:rsidRDefault="00AC1F56" w:rsidP="00AC1F56">
      <w:pPr>
        <w:numPr>
          <w:ilvl w:val="2"/>
          <w:numId w:val="21"/>
        </w:numPr>
        <w:overflowPunct/>
        <w:autoSpaceDE/>
        <w:autoSpaceDN/>
        <w:adjustRightInd/>
        <w:spacing w:after="0"/>
        <w:jc w:val="left"/>
        <w:textAlignment w:val="auto"/>
        <w:rPr>
          <w:rFonts w:eastAsia="MS Mincho"/>
          <w:i/>
          <w:lang w:val="en-US" w:eastAsia="ja-JP"/>
        </w:rPr>
      </w:pPr>
      <w:r w:rsidRPr="00AC1F56">
        <w:rPr>
          <w:rFonts w:eastAsia="MS Mincho"/>
          <w:i/>
          <w:lang w:val="en-US" w:eastAsia="ja-JP"/>
        </w:rPr>
        <w:t xml:space="preserve">The granularity of </w:t>
      </w:r>
      <w:r w:rsidR="00B14C3D">
        <w:rPr>
          <w:rFonts w:eastAsia="MS Mincho"/>
          <w:i/>
          <w:lang w:val="en-US" w:eastAsia="ja-JP"/>
        </w:rPr>
        <w:t>pre-emption</w:t>
      </w:r>
      <w:r w:rsidRPr="00AC1F56">
        <w:rPr>
          <w:rFonts w:eastAsia="MS Mincho"/>
          <w:i/>
          <w:lang w:val="en-US" w:eastAsia="ja-JP"/>
        </w:rPr>
        <w:t xml:space="preserve"> indication in time domain can be configured </w:t>
      </w:r>
    </w:p>
    <w:p w14:paraId="5D0DA21F" w14:textId="77777777" w:rsidR="00AC1F56" w:rsidRPr="00AC1F56" w:rsidRDefault="00AC1F56" w:rsidP="00AC1F56">
      <w:pPr>
        <w:numPr>
          <w:ilvl w:val="3"/>
          <w:numId w:val="21"/>
        </w:numPr>
        <w:overflowPunct/>
        <w:autoSpaceDE/>
        <w:autoSpaceDN/>
        <w:adjustRightInd/>
        <w:spacing w:after="0"/>
        <w:jc w:val="left"/>
        <w:textAlignment w:val="auto"/>
        <w:rPr>
          <w:rFonts w:eastAsia="MS Mincho"/>
          <w:i/>
          <w:lang w:val="en-US" w:eastAsia="ja-JP"/>
        </w:rPr>
      </w:pPr>
      <w:r w:rsidRPr="00AC1F56">
        <w:rPr>
          <w:rFonts w:eastAsia="MS Mincho"/>
          <w:i/>
          <w:lang w:val="en-US" w:eastAsia="ja-JP"/>
        </w:rPr>
        <w:t>Details of granularity are FFS</w:t>
      </w:r>
    </w:p>
    <w:p w14:paraId="7A06412A" w14:textId="00121B6E" w:rsidR="003D17ED" w:rsidRDefault="003D17ED" w:rsidP="004555E3">
      <w:pPr>
        <w:rPr>
          <w:szCs w:val="22"/>
        </w:rPr>
      </w:pPr>
      <w:r>
        <w:rPr>
          <w:szCs w:val="22"/>
        </w:rPr>
        <w:t>Furthermore, i</w:t>
      </w:r>
      <w:r w:rsidRPr="00AA3833">
        <w:rPr>
          <w:szCs w:val="22"/>
        </w:rPr>
        <w:t>n RAN1</w:t>
      </w:r>
      <w:r>
        <w:rPr>
          <w:szCs w:val="22"/>
        </w:rPr>
        <w:t>#89</w:t>
      </w:r>
      <w:r w:rsidRPr="003D17ED">
        <w:rPr>
          <w:szCs w:val="22"/>
        </w:rPr>
        <w:t xml:space="preserve"> </w:t>
      </w:r>
      <w:r w:rsidRPr="00AA3833">
        <w:rPr>
          <w:szCs w:val="22"/>
        </w:rPr>
        <w:t>Meeting</w:t>
      </w:r>
      <w:r>
        <w:rPr>
          <w:szCs w:val="22"/>
        </w:rPr>
        <w:t xml:space="preserve"> </w:t>
      </w:r>
      <w:r>
        <w:rPr>
          <w:szCs w:val="22"/>
        </w:rPr>
        <w:fldChar w:fldCharType="begin"/>
      </w:r>
      <w:r>
        <w:rPr>
          <w:szCs w:val="22"/>
        </w:rPr>
        <w:instrText xml:space="preserve"> REF _Ref489856619 \r \h </w:instrText>
      </w:r>
      <w:r>
        <w:rPr>
          <w:szCs w:val="22"/>
        </w:rPr>
      </w:r>
      <w:r>
        <w:rPr>
          <w:szCs w:val="22"/>
        </w:rPr>
        <w:fldChar w:fldCharType="separate"/>
      </w:r>
      <w:r>
        <w:rPr>
          <w:szCs w:val="22"/>
        </w:rPr>
        <w:t>[2]</w:t>
      </w:r>
      <w:r>
        <w:rPr>
          <w:szCs w:val="22"/>
        </w:rPr>
        <w:fldChar w:fldCharType="end"/>
      </w:r>
      <w:r w:rsidRPr="00AA3833">
        <w:rPr>
          <w:szCs w:val="22"/>
        </w:rPr>
        <w:t>,</w:t>
      </w:r>
      <w:r>
        <w:rPr>
          <w:szCs w:val="22"/>
        </w:rPr>
        <w:t xml:space="preserve"> it was agreed:</w:t>
      </w:r>
    </w:p>
    <w:p w14:paraId="57D0AB23" w14:textId="5D2F48BC" w:rsidR="00BE64B5" w:rsidRDefault="00BE64B5" w:rsidP="004555E3">
      <w:pPr>
        <w:rPr>
          <w:szCs w:val="22"/>
        </w:rPr>
      </w:pPr>
      <w:r w:rsidRPr="00726F08">
        <w:rPr>
          <w:rFonts w:eastAsia="MS Mincho" w:hint="eastAsia"/>
          <w:b/>
          <w:highlight w:val="green"/>
          <w:u w:val="single"/>
          <w:lang w:val="en-US" w:eastAsia="ja-JP"/>
        </w:rPr>
        <w:t>Agreements:</w:t>
      </w:r>
    </w:p>
    <w:p w14:paraId="6CC5103B" w14:textId="6F31D927" w:rsidR="00C33533" w:rsidRPr="00C33533" w:rsidRDefault="00C33533" w:rsidP="00C33533">
      <w:pPr>
        <w:numPr>
          <w:ilvl w:val="0"/>
          <w:numId w:val="19"/>
        </w:numPr>
        <w:overflowPunct/>
        <w:autoSpaceDE/>
        <w:autoSpaceDN/>
        <w:adjustRightInd/>
        <w:spacing w:after="0"/>
        <w:jc w:val="left"/>
        <w:textAlignment w:val="auto"/>
        <w:rPr>
          <w:rFonts w:eastAsia="MS Mincho"/>
          <w:i/>
          <w:lang w:val="en-US" w:eastAsia="ja-JP"/>
        </w:rPr>
      </w:pPr>
      <w:r w:rsidRPr="00C33533">
        <w:rPr>
          <w:rFonts w:eastAsia="MS Mincho" w:hint="eastAsia"/>
          <w:i/>
          <w:lang w:val="en-US" w:eastAsia="ja-JP"/>
        </w:rPr>
        <w:t xml:space="preserve">For </w:t>
      </w:r>
      <w:r w:rsidR="00B14C3D">
        <w:rPr>
          <w:rFonts w:eastAsia="MS Mincho" w:hint="eastAsia"/>
          <w:i/>
          <w:lang w:val="en-US" w:eastAsia="ja-JP"/>
        </w:rPr>
        <w:t>pre-emption</w:t>
      </w:r>
      <w:r w:rsidRPr="00C33533">
        <w:rPr>
          <w:rFonts w:eastAsia="MS Mincho" w:hint="eastAsia"/>
          <w:i/>
          <w:lang w:val="en-US" w:eastAsia="ja-JP"/>
        </w:rPr>
        <w:t xml:space="preserve"> indication;</w:t>
      </w:r>
    </w:p>
    <w:p w14:paraId="5F0C88FD" w14:textId="77777777" w:rsidR="00C33533" w:rsidRPr="00C33533" w:rsidRDefault="00C33533" w:rsidP="00C33533">
      <w:pPr>
        <w:numPr>
          <w:ilvl w:val="1"/>
          <w:numId w:val="19"/>
        </w:numPr>
        <w:overflowPunct/>
        <w:autoSpaceDE/>
        <w:autoSpaceDN/>
        <w:adjustRightInd/>
        <w:spacing w:after="0"/>
        <w:jc w:val="left"/>
        <w:textAlignment w:val="auto"/>
        <w:rPr>
          <w:rFonts w:eastAsia="MS Mincho"/>
          <w:i/>
          <w:lang w:val="en-US" w:eastAsia="ja-JP"/>
        </w:rPr>
      </w:pPr>
      <w:r w:rsidRPr="00C33533">
        <w:rPr>
          <w:rFonts w:eastAsia="MS Mincho" w:hint="eastAsia"/>
          <w:i/>
          <w:lang w:val="en-US" w:eastAsia="ja-JP"/>
        </w:rPr>
        <w:t>When configured, the indication tells the UE(s) which DL physical resources has been preempted.</w:t>
      </w:r>
    </w:p>
    <w:p w14:paraId="7EF03EED" w14:textId="3C4E0A70" w:rsidR="00C33533" w:rsidRPr="00C33533" w:rsidRDefault="00C33533" w:rsidP="00C33533">
      <w:pPr>
        <w:numPr>
          <w:ilvl w:val="1"/>
          <w:numId w:val="19"/>
        </w:numPr>
        <w:overflowPunct/>
        <w:autoSpaceDE/>
        <w:autoSpaceDN/>
        <w:adjustRightInd/>
        <w:spacing w:after="0"/>
        <w:jc w:val="left"/>
        <w:textAlignment w:val="auto"/>
        <w:rPr>
          <w:rFonts w:eastAsia="MS Mincho"/>
          <w:i/>
          <w:lang w:val="en-US" w:eastAsia="ja-JP"/>
        </w:rPr>
      </w:pPr>
      <w:r w:rsidRPr="00C33533">
        <w:rPr>
          <w:rFonts w:eastAsia="MS Mincho" w:hint="eastAsia"/>
          <w:i/>
          <w:lang w:val="en-US" w:eastAsia="ja-JP"/>
        </w:rPr>
        <w:t xml:space="preserve">The </w:t>
      </w:r>
      <w:r w:rsidR="00B14C3D">
        <w:rPr>
          <w:rFonts w:eastAsia="MS Mincho" w:hint="eastAsia"/>
          <w:i/>
          <w:lang w:val="en-US" w:eastAsia="ja-JP"/>
        </w:rPr>
        <w:t>pre-emption</w:t>
      </w:r>
      <w:r w:rsidRPr="00C33533">
        <w:rPr>
          <w:rFonts w:eastAsia="MS Mincho" w:hint="eastAsia"/>
          <w:i/>
          <w:lang w:val="en-US" w:eastAsia="ja-JP"/>
        </w:rPr>
        <w:t xml:space="preserve"> indication is transmitted using a PDCCH.</w:t>
      </w:r>
    </w:p>
    <w:p w14:paraId="61AB1550" w14:textId="44150932" w:rsidR="00C33533" w:rsidRPr="00C33533" w:rsidRDefault="00C33533" w:rsidP="00C33533">
      <w:pPr>
        <w:numPr>
          <w:ilvl w:val="2"/>
          <w:numId w:val="19"/>
        </w:numPr>
        <w:overflowPunct/>
        <w:autoSpaceDE/>
        <w:autoSpaceDN/>
        <w:adjustRightInd/>
        <w:spacing w:after="0"/>
        <w:jc w:val="left"/>
        <w:textAlignment w:val="auto"/>
        <w:rPr>
          <w:rFonts w:eastAsia="MS Mincho"/>
          <w:i/>
          <w:lang w:val="en-US" w:eastAsia="ja-JP"/>
        </w:rPr>
      </w:pPr>
      <w:r w:rsidRPr="00C33533">
        <w:rPr>
          <w:rFonts w:eastAsia="MS Mincho" w:hint="eastAsia"/>
          <w:i/>
          <w:lang w:val="en-US" w:eastAsia="ja-JP"/>
        </w:rPr>
        <w:t xml:space="preserve">The </w:t>
      </w:r>
      <w:r w:rsidR="00B14C3D">
        <w:rPr>
          <w:rFonts w:eastAsia="MS Mincho" w:hint="eastAsia"/>
          <w:i/>
          <w:lang w:val="en-US" w:eastAsia="ja-JP"/>
        </w:rPr>
        <w:t>pre-emption</w:t>
      </w:r>
      <w:r w:rsidRPr="00C33533">
        <w:rPr>
          <w:rFonts w:eastAsia="MS Mincho" w:hint="eastAsia"/>
          <w:i/>
          <w:lang w:val="en-US" w:eastAsia="ja-JP"/>
        </w:rPr>
        <w:t xml:space="preserve"> indication is not included in the DCI that schedules the (re)transmission of the data transmission.</w:t>
      </w:r>
    </w:p>
    <w:p w14:paraId="7B5D8AC8" w14:textId="77777777" w:rsidR="00C33533" w:rsidRPr="00C33533" w:rsidRDefault="00C33533" w:rsidP="00C33533">
      <w:pPr>
        <w:numPr>
          <w:ilvl w:val="1"/>
          <w:numId w:val="19"/>
        </w:numPr>
        <w:overflowPunct/>
        <w:autoSpaceDE/>
        <w:autoSpaceDN/>
        <w:adjustRightInd/>
        <w:spacing w:after="0"/>
        <w:jc w:val="left"/>
        <w:textAlignment w:val="auto"/>
        <w:rPr>
          <w:rFonts w:eastAsia="MS Mincho"/>
          <w:i/>
          <w:lang w:val="en-US" w:eastAsia="ja-JP"/>
        </w:rPr>
      </w:pPr>
      <w:r w:rsidRPr="00C33533">
        <w:rPr>
          <w:rFonts w:eastAsia="MS Mincho" w:hint="eastAsia"/>
          <w:i/>
          <w:lang w:val="en-US" w:eastAsia="ja-JP"/>
        </w:rPr>
        <w:t>FFS: the granularity of the time and/or frequency resources.</w:t>
      </w:r>
    </w:p>
    <w:p w14:paraId="4EA20A00" w14:textId="77777777" w:rsidR="00C33533" w:rsidRPr="00C33533" w:rsidRDefault="00C33533" w:rsidP="00C33533">
      <w:pPr>
        <w:numPr>
          <w:ilvl w:val="1"/>
          <w:numId w:val="19"/>
        </w:numPr>
        <w:overflowPunct/>
        <w:autoSpaceDE/>
        <w:autoSpaceDN/>
        <w:adjustRightInd/>
        <w:spacing w:after="0"/>
        <w:jc w:val="left"/>
        <w:textAlignment w:val="auto"/>
        <w:rPr>
          <w:rFonts w:eastAsia="MS Mincho"/>
          <w:i/>
          <w:lang w:val="en-US" w:eastAsia="ja-JP"/>
        </w:rPr>
      </w:pPr>
      <w:r w:rsidRPr="00C33533">
        <w:rPr>
          <w:rFonts w:eastAsia="MS Mincho" w:hint="eastAsia"/>
          <w:i/>
          <w:lang w:val="en-US" w:eastAsia="ja-JP"/>
        </w:rPr>
        <w:t>FFS: what DCI is used.</w:t>
      </w:r>
    </w:p>
    <w:p w14:paraId="396678D8" w14:textId="276DFAC6" w:rsidR="00C33533" w:rsidRPr="00C33533" w:rsidRDefault="00C33533" w:rsidP="00C33533">
      <w:pPr>
        <w:numPr>
          <w:ilvl w:val="1"/>
          <w:numId w:val="19"/>
        </w:numPr>
        <w:overflowPunct/>
        <w:autoSpaceDE/>
        <w:autoSpaceDN/>
        <w:adjustRightInd/>
        <w:spacing w:after="0"/>
        <w:jc w:val="left"/>
        <w:textAlignment w:val="auto"/>
        <w:rPr>
          <w:rFonts w:eastAsia="MS Mincho"/>
          <w:i/>
          <w:lang w:val="en-US" w:eastAsia="ja-JP"/>
        </w:rPr>
      </w:pPr>
      <w:r w:rsidRPr="00C33533">
        <w:rPr>
          <w:rFonts w:eastAsia="MS Mincho" w:hint="eastAsia"/>
          <w:i/>
          <w:lang w:val="en-US" w:eastAsia="ja-JP"/>
        </w:rPr>
        <w:t xml:space="preserve">FFS: timing of the </w:t>
      </w:r>
      <w:r w:rsidR="00B14C3D">
        <w:rPr>
          <w:rFonts w:eastAsia="MS Mincho" w:hint="eastAsia"/>
          <w:i/>
          <w:lang w:val="en-US" w:eastAsia="ja-JP"/>
        </w:rPr>
        <w:t>pre-emption</w:t>
      </w:r>
      <w:r w:rsidRPr="00C33533">
        <w:rPr>
          <w:rFonts w:eastAsia="MS Mincho" w:hint="eastAsia"/>
          <w:i/>
          <w:lang w:val="en-US" w:eastAsia="ja-JP"/>
        </w:rPr>
        <w:t xml:space="preserve"> indication.</w:t>
      </w:r>
    </w:p>
    <w:p w14:paraId="12579F8C" w14:textId="142D261A" w:rsidR="00FA007C" w:rsidRPr="00B36C4C" w:rsidRDefault="00B10F4C" w:rsidP="00150BA6">
      <w:pPr>
        <w:spacing w:before="240"/>
        <w:rPr>
          <w:szCs w:val="22"/>
        </w:rPr>
      </w:pPr>
      <w:r>
        <w:rPr>
          <w:szCs w:val="22"/>
        </w:rPr>
        <w:t xml:space="preserve">In </w:t>
      </w:r>
      <w:r w:rsidR="00B36C4C" w:rsidRPr="00B36C4C">
        <w:rPr>
          <w:szCs w:val="22"/>
        </w:rPr>
        <w:t>this contribution</w:t>
      </w:r>
      <w:r>
        <w:rPr>
          <w:szCs w:val="22"/>
        </w:rPr>
        <w:t>, we</w:t>
      </w:r>
      <w:r w:rsidR="00B36C4C">
        <w:rPr>
          <w:szCs w:val="22"/>
        </w:rPr>
        <w:t xml:space="preserve"> discuss</w:t>
      </w:r>
      <w:r>
        <w:rPr>
          <w:szCs w:val="22"/>
        </w:rPr>
        <w:t xml:space="preserve"> the </w:t>
      </w:r>
      <w:r w:rsidR="003D17ED">
        <w:rPr>
          <w:szCs w:val="22"/>
        </w:rPr>
        <w:t>remain</w:t>
      </w:r>
      <w:r w:rsidR="002956C0">
        <w:rPr>
          <w:szCs w:val="22"/>
        </w:rPr>
        <w:t>ing details</w:t>
      </w:r>
      <w:r w:rsidR="003D17ED">
        <w:rPr>
          <w:szCs w:val="22"/>
        </w:rPr>
        <w:t xml:space="preserve"> related to the </w:t>
      </w:r>
      <w:r>
        <w:rPr>
          <w:szCs w:val="22"/>
        </w:rPr>
        <w:t>pre-emption indication</w:t>
      </w:r>
      <w:r w:rsidR="002956C0">
        <w:rPr>
          <w:szCs w:val="22"/>
        </w:rPr>
        <w:t xml:space="preserve"> for</w:t>
      </w:r>
      <w:r w:rsidR="003D17ED">
        <w:rPr>
          <w:szCs w:val="22"/>
        </w:rPr>
        <w:t xml:space="preserve"> DL</w:t>
      </w:r>
      <w:r w:rsidR="00B36C4C">
        <w:rPr>
          <w:szCs w:val="22"/>
        </w:rPr>
        <w:t>.</w:t>
      </w:r>
    </w:p>
    <w:p w14:paraId="411E7BBD" w14:textId="72A29C23" w:rsidR="00085A01" w:rsidRPr="00C740A9" w:rsidRDefault="00354B6D" w:rsidP="00B36C4C">
      <w:pPr>
        <w:pStyle w:val="Heading1"/>
        <w:pBdr>
          <w:top w:val="single" w:sz="12" w:space="5" w:color="auto"/>
        </w:pBdr>
        <w:spacing w:after="120" w:line="360" w:lineRule="auto"/>
        <w:rPr>
          <w:rFonts w:ascii="Times New Roman" w:hAnsi="Times New Roman"/>
          <w:b/>
          <w:sz w:val="32"/>
          <w:szCs w:val="32"/>
          <w:lang w:val="en-US"/>
        </w:rPr>
      </w:pPr>
      <w:r>
        <w:rPr>
          <w:rFonts w:ascii="Times New Roman" w:hAnsi="Times New Roman"/>
          <w:b/>
          <w:sz w:val="32"/>
          <w:szCs w:val="32"/>
        </w:rPr>
        <w:t>PDCCH</w:t>
      </w:r>
      <w:r w:rsidR="004555E3" w:rsidRPr="00C740A9">
        <w:rPr>
          <w:rFonts w:ascii="Times New Roman" w:hAnsi="Times New Roman"/>
          <w:b/>
          <w:sz w:val="32"/>
          <w:szCs w:val="32"/>
        </w:rPr>
        <w:t xml:space="preserve"> </w:t>
      </w:r>
      <w:r w:rsidR="00F71E5E">
        <w:rPr>
          <w:rFonts w:ascii="Times New Roman" w:hAnsi="Times New Roman"/>
          <w:b/>
          <w:sz w:val="32"/>
          <w:szCs w:val="32"/>
        </w:rPr>
        <w:t xml:space="preserve">design aspects for </w:t>
      </w:r>
      <w:r w:rsidR="00B14C3D">
        <w:rPr>
          <w:rFonts w:ascii="Times New Roman" w:hAnsi="Times New Roman"/>
          <w:b/>
          <w:sz w:val="32"/>
          <w:szCs w:val="32"/>
        </w:rPr>
        <w:t>pre-emption</w:t>
      </w:r>
      <w:r w:rsidR="00B10F4C">
        <w:rPr>
          <w:rFonts w:ascii="Times New Roman" w:hAnsi="Times New Roman"/>
          <w:b/>
          <w:sz w:val="32"/>
          <w:szCs w:val="32"/>
        </w:rPr>
        <w:t xml:space="preserve"> indication</w:t>
      </w:r>
    </w:p>
    <w:p w14:paraId="2D5F0F08" w14:textId="4448DA06" w:rsidR="00E9512C" w:rsidRDefault="00771418" w:rsidP="00E9512C">
      <w:pPr>
        <w:rPr>
          <w:szCs w:val="22"/>
          <w:lang w:eastAsia="sv-SE"/>
        </w:rPr>
      </w:pPr>
      <w:r>
        <w:rPr>
          <w:szCs w:val="22"/>
          <w:lang w:eastAsia="sv-SE"/>
        </w:rPr>
        <w:t>Per agreement</w:t>
      </w:r>
      <w:r w:rsidR="00B10F4C">
        <w:rPr>
          <w:szCs w:val="22"/>
          <w:lang w:eastAsia="sv-SE"/>
        </w:rPr>
        <w:t xml:space="preserve"> in </w:t>
      </w:r>
      <w:r>
        <w:rPr>
          <w:szCs w:val="22"/>
          <w:lang w:eastAsia="sv-SE"/>
        </w:rPr>
        <w:t xml:space="preserve">the </w:t>
      </w:r>
      <w:r w:rsidRPr="00AA3833">
        <w:rPr>
          <w:szCs w:val="22"/>
        </w:rPr>
        <w:t>RAN1</w:t>
      </w:r>
      <w:r>
        <w:rPr>
          <w:szCs w:val="22"/>
        </w:rPr>
        <w:t xml:space="preserve"> </w:t>
      </w:r>
      <w:r w:rsidRPr="003D17ED">
        <w:rPr>
          <w:szCs w:val="22"/>
        </w:rPr>
        <w:t xml:space="preserve">NR Ad-Hoc#2 </w:t>
      </w:r>
      <w:r w:rsidRPr="00AA3833">
        <w:rPr>
          <w:szCs w:val="22"/>
        </w:rPr>
        <w:t xml:space="preserve">Meeting </w:t>
      </w:r>
      <w:r w:rsidRPr="00AA3833">
        <w:rPr>
          <w:szCs w:val="22"/>
        </w:rPr>
        <w:fldChar w:fldCharType="begin"/>
      </w:r>
      <w:r w:rsidRPr="00AA3833">
        <w:rPr>
          <w:szCs w:val="22"/>
        </w:rPr>
        <w:instrText xml:space="preserve"> REF _Ref455734493 \r \h </w:instrText>
      </w:r>
      <w:r>
        <w:rPr>
          <w:szCs w:val="22"/>
        </w:rPr>
        <w:instrText xml:space="preserve"> \* MERGEFORMAT </w:instrText>
      </w:r>
      <w:r w:rsidRPr="00AA3833">
        <w:rPr>
          <w:szCs w:val="22"/>
        </w:rPr>
      </w:r>
      <w:r w:rsidRPr="00AA3833">
        <w:rPr>
          <w:szCs w:val="22"/>
        </w:rPr>
        <w:fldChar w:fldCharType="separate"/>
      </w:r>
      <w:r w:rsidRPr="00AA3833">
        <w:rPr>
          <w:szCs w:val="22"/>
        </w:rPr>
        <w:t>[1]</w:t>
      </w:r>
      <w:r w:rsidRPr="00AA3833">
        <w:rPr>
          <w:szCs w:val="22"/>
        </w:rPr>
        <w:fldChar w:fldCharType="end"/>
      </w:r>
      <w:r w:rsidRPr="00AA3833">
        <w:rPr>
          <w:szCs w:val="22"/>
        </w:rPr>
        <w:t xml:space="preserve">, </w:t>
      </w:r>
      <w:r w:rsidR="00B10F4C">
        <w:rPr>
          <w:szCs w:val="22"/>
          <w:lang w:eastAsia="sv-SE"/>
        </w:rPr>
        <w:t>t</w:t>
      </w:r>
      <w:r w:rsidR="00B10F4C" w:rsidRPr="00B10F4C">
        <w:rPr>
          <w:szCs w:val="22"/>
          <w:lang w:eastAsia="sv-SE"/>
        </w:rPr>
        <w:t xml:space="preserve">he </w:t>
      </w:r>
      <w:r w:rsidR="007D40BA" w:rsidRPr="00B10F4C">
        <w:rPr>
          <w:szCs w:val="22"/>
          <w:lang w:eastAsia="sv-SE"/>
        </w:rPr>
        <w:t>pre-emption</w:t>
      </w:r>
      <w:r w:rsidR="00B10F4C" w:rsidRPr="00B10F4C">
        <w:rPr>
          <w:szCs w:val="22"/>
          <w:lang w:eastAsia="sv-SE"/>
        </w:rPr>
        <w:t xml:space="preserve"> indication</w:t>
      </w:r>
      <w:r w:rsidR="00B10F4C">
        <w:rPr>
          <w:szCs w:val="22"/>
          <w:lang w:eastAsia="sv-SE"/>
        </w:rPr>
        <w:t xml:space="preserve"> (PI)</w:t>
      </w:r>
      <w:r w:rsidR="00B10F4C" w:rsidRPr="00B10F4C">
        <w:rPr>
          <w:szCs w:val="22"/>
          <w:lang w:eastAsia="sv-SE"/>
        </w:rPr>
        <w:t xml:space="preserve"> is transmitted using a </w:t>
      </w:r>
      <w:r>
        <w:rPr>
          <w:szCs w:val="22"/>
          <w:lang w:eastAsia="sv-SE"/>
        </w:rPr>
        <w:t xml:space="preserve">group common DCI in </w:t>
      </w:r>
      <w:r w:rsidR="00B10F4C" w:rsidRPr="00B10F4C">
        <w:rPr>
          <w:szCs w:val="22"/>
          <w:lang w:eastAsia="sv-SE"/>
        </w:rPr>
        <w:t>PDCCH</w:t>
      </w:r>
      <w:r w:rsidR="00B10F4C">
        <w:rPr>
          <w:szCs w:val="22"/>
          <w:lang w:eastAsia="sv-SE"/>
        </w:rPr>
        <w:t xml:space="preserve">. </w:t>
      </w:r>
      <w:r>
        <w:rPr>
          <w:szCs w:val="22"/>
          <w:lang w:eastAsia="sv-SE"/>
        </w:rPr>
        <w:t xml:space="preserve">However, it is still FFS whether this group common DCI can be transmitted together with SFI in the group common PDCCH. Given that the majority view by most companies is that only SFI is transmitted in the group common PDCCH, we believe the next logical step is to agree that the DL pre-emption indication is transmitted using a </w:t>
      </w:r>
      <w:r w:rsidR="00F22ACA">
        <w:rPr>
          <w:szCs w:val="22"/>
          <w:lang w:eastAsia="sv-SE"/>
        </w:rPr>
        <w:t>group-common DCI in an NR-PDCCH which is transmitted separately from SFI.</w:t>
      </w:r>
      <w:r>
        <w:rPr>
          <w:szCs w:val="22"/>
          <w:lang w:eastAsia="sv-SE"/>
        </w:rPr>
        <w:t xml:space="preserve"> </w:t>
      </w:r>
      <w:r w:rsidR="000D4E3B">
        <w:rPr>
          <w:szCs w:val="22"/>
          <w:lang w:eastAsia="sv-SE"/>
        </w:rPr>
        <w:t xml:space="preserve"> </w:t>
      </w:r>
    </w:p>
    <w:p w14:paraId="76CDF559" w14:textId="17AC58D4" w:rsidR="00E9512C" w:rsidRPr="00894A3E" w:rsidRDefault="00E9512C" w:rsidP="00E9512C">
      <w:pPr>
        <w:spacing w:after="0"/>
        <w:rPr>
          <w:i/>
          <w:szCs w:val="22"/>
          <w:lang w:eastAsia="sv-SE"/>
        </w:rPr>
      </w:pPr>
      <w:r w:rsidRPr="00AA3833">
        <w:rPr>
          <w:b/>
          <w:i/>
          <w:szCs w:val="22"/>
          <w:u w:val="single"/>
          <w:lang w:eastAsia="sv-SE"/>
        </w:rPr>
        <w:t>Proposal 1:</w:t>
      </w:r>
      <w:r w:rsidRPr="00AA3833">
        <w:rPr>
          <w:b/>
          <w:szCs w:val="22"/>
          <w:lang w:eastAsia="sv-SE"/>
        </w:rPr>
        <w:t xml:space="preserve"> </w:t>
      </w:r>
      <w:r w:rsidR="00894047">
        <w:rPr>
          <w:i/>
          <w:szCs w:val="22"/>
          <w:lang w:eastAsia="sv-SE"/>
        </w:rPr>
        <w:t xml:space="preserve">The </w:t>
      </w:r>
      <w:r w:rsidR="00771418">
        <w:rPr>
          <w:i/>
          <w:szCs w:val="22"/>
          <w:lang w:eastAsia="sv-SE"/>
        </w:rPr>
        <w:t>group-common DCI</w:t>
      </w:r>
      <w:r w:rsidR="00894047">
        <w:rPr>
          <w:i/>
          <w:szCs w:val="22"/>
          <w:lang w:eastAsia="sv-SE"/>
        </w:rPr>
        <w:t xml:space="preserve"> which</w:t>
      </w:r>
      <w:r w:rsidR="00771418">
        <w:rPr>
          <w:i/>
          <w:szCs w:val="22"/>
          <w:lang w:eastAsia="sv-SE"/>
        </w:rPr>
        <w:t xml:space="preserve"> </w:t>
      </w:r>
      <w:r w:rsidR="00894047">
        <w:rPr>
          <w:i/>
          <w:szCs w:val="22"/>
          <w:lang w:eastAsia="sv-SE"/>
        </w:rPr>
        <w:t xml:space="preserve">carries the </w:t>
      </w:r>
      <w:r w:rsidR="00B14C3D">
        <w:rPr>
          <w:i/>
          <w:szCs w:val="22"/>
          <w:lang w:eastAsia="sv-SE"/>
        </w:rPr>
        <w:t>pre-emption</w:t>
      </w:r>
      <w:r w:rsidR="00894047">
        <w:rPr>
          <w:i/>
          <w:szCs w:val="22"/>
          <w:lang w:eastAsia="sv-SE"/>
        </w:rPr>
        <w:t xml:space="preserve"> indication</w:t>
      </w:r>
      <w:r w:rsidR="00771418">
        <w:rPr>
          <w:i/>
          <w:szCs w:val="22"/>
          <w:lang w:eastAsia="sv-SE"/>
        </w:rPr>
        <w:t xml:space="preserve"> is transmitted separately from SFI</w:t>
      </w:r>
      <w:r w:rsidRPr="00894A3E">
        <w:rPr>
          <w:i/>
          <w:szCs w:val="22"/>
          <w:lang w:eastAsia="sv-SE"/>
        </w:rPr>
        <w:t>.</w:t>
      </w:r>
    </w:p>
    <w:p w14:paraId="69EED146" w14:textId="311974C6" w:rsidR="00003703" w:rsidRPr="00150BA6" w:rsidRDefault="00003703" w:rsidP="00003703">
      <w:pPr>
        <w:spacing w:before="240"/>
        <w:rPr>
          <w:szCs w:val="22"/>
          <w:lang w:eastAsia="sv-SE"/>
        </w:rPr>
      </w:pPr>
      <w:r>
        <w:rPr>
          <w:szCs w:val="22"/>
          <w:lang w:eastAsia="sv-SE"/>
        </w:rPr>
        <w:t xml:space="preserve">The mechanism for </w:t>
      </w:r>
      <w:r w:rsidR="00614D6D">
        <w:rPr>
          <w:szCs w:val="22"/>
          <w:lang w:eastAsia="sv-SE"/>
        </w:rPr>
        <w:t xml:space="preserve">identification </w:t>
      </w:r>
      <w:r w:rsidR="00894047">
        <w:rPr>
          <w:szCs w:val="22"/>
          <w:lang w:eastAsia="sv-SE"/>
        </w:rPr>
        <w:t xml:space="preserve">of the group-common DCI carrying pre-emption indication </w:t>
      </w:r>
      <w:r>
        <w:rPr>
          <w:szCs w:val="22"/>
          <w:lang w:eastAsia="sv-SE"/>
        </w:rPr>
        <w:t>could be similar to the DCI Format</w:t>
      </w:r>
      <w:r w:rsidR="00800419">
        <w:rPr>
          <w:szCs w:val="22"/>
          <w:lang w:eastAsia="sv-SE"/>
        </w:rPr>
        <w:t>s</w:t>
      </w:r>
      <w:r>
        <w:rPr>
          <w:szCs w:val="22"/>
          <w:lang w:eastAsia="sv-SE"/>
        </w:rPr>
        <w:t xml:space="preserve"> 3/3A in LTE where the DCI formats contain transmit power control (TPC) commands for a group of users.</w:t>
      </w:r>
      <w:r w:rsidR="00894047">
        <w:rPr>
          <w:szCs w:val="22"/>
          <w:lang w:eastAsia="sv-SE"/>
        </w:rPr>
        <w:t xml:space="preserve"> In other words</w:t>
      </w:r>
      <w:r w:rsidRPr="00F04161">
        <w:rPr>
          <w:szCs w:val="22"/>
          <w:lang w:eastAsia="sv-SE"/>
        </w:rPr>
        <w:t xml:space="preserve">, </w:t>
      </w:r>
      <w:r w:rsidR="00614D6D">
        <w:rPr>
          <w:szCs w:val="22"/>
          <w:lang w:eastAsia="sv-SE"/>
        </w:rPr>
        <w:t>a single fixed identifier (e.g.,</w:t>
      </w:r>
      <w:r w:rsidR="00614D6D" w:rsidRPr="00F04161">
        <w:rPr>
          <w:szCs w:val="22"/>
          <w:lang w:eastAsia="sv-SE"/>
        </w:rPr>
        <w:t xml:space="preserve"> the </w:t>
      </w:r>
      <w:r w:rsidR="00614D6D">
        <w:rPr>
          <w:szCs w:val="22"/>
          <w:lang w:eastAsia="sv-SE"/>
        </w:rPr>
        <w:t>Pre-emptive Indication</w:t>
      </w:r>
      <w:r w:rsidR="00614D6D" w:rsidRPr="00F04161">
        <w:rPr>
          <w:szCs w:val="22"/>
          <w:lang w:eastAsia="sv-SE"/>
        </w:rPr>
        <w:t xml:space="preserve"> RNTI (P</w:t>
      </w:r>
      <w:r w:rsidR="00614D6D">
        <w:rPr>
          <w:szCs w:val="22"/>
          <w:lang w:eastAsia="sv-SE"/>
        </w:rPr>
        <w:t>I</w:t>
      </w:r>
      <w:r w:rsidR="00614D6D" w:rsidRPr="00F04161">
        <w:rPr>
          <w:szCs w:val="22"/>
          <w:lang w:eastAsia="sv-SE"/>
        </w:rPr>
        <w:t>-RNTI)</w:t>
      </w:r>
      <w:r w:rsidR="00614D6D">
        <w:rPr>
          <w:szCs w:val="22"/>
          <w:lang w:eastAsia="sv-SE"/>
        </w:rPr>
        <w:t xml:space="preserve">) can be defined </w:t>
      </w:r>
      <w:r w:rsidR="006C4B07">
        <w:rPr>
          <w:szCs w:val="22"/>
          <w:lang w:eastAsia="sv-SE"/>
        </w:rPr>
        <w:t xml:space="preserve">for each </w:t>
      </w:r>
      <w:r w:rsidR="006C4B07" w:rsidRPr="006C4B07">
        <w:rPr>
          <w:szCs w:val="22"/>
          <w:lang w:eastAsia="sv-SE"/>
        </w:rPr>
        <w:t>group of UEs which is implicitly encoded in the CRC of the group common DCI carrying pre-emption indication.</w:t>
      </w:r>
      <w:r w:rsidR="006C4B07">
        <w:rPr>
          <w:szCs w:val="22"/>
          <w:lang w:eastAsia="sv-SE"/>
        </w:rPr>
        <w:t xml:space="preserve"> </w:t>
      </w:r>
      <w:r w:rsidR="00B023A7">
        <w:rPr>
          <w:szCs w:val="22"/>
          <w:lang w:eastAsia="sv-SE"/>
        </w:rPr>
        <w:t>In this approach, t</w:t>
      </w:r>
      <w:r w:rsidR="00150BA6">
        <w:rPr>
          <w:szCs w:val="22"/>
          <w:lang w:eastAsia="sv-SE"/>
        </w:rPr>
        <w:t>he</w:t>
      </w:r>
      <w:r>
        <w:rPr>
          <w:szCs w:val="22"/>
          <w:lang w:eastAsia="sv-SE"/>
        </w:rPr>
        <w:t xml:space="preserve"> scheduler </w:t>
      </w:r>
      <w:r w:rsidR="00DF3FFD">
        <w:rPr>
          <w:szCs w:val="22"/>
          <w:lang w:eastAsia="sv-SE"/>
        </w:rPr>
        <w:t>may</w:t>
      </w:r>
      <w:r w:rsidR="00B023A7">
        <w:rPr>
          <w:szCs w:val="22"/>
          <w:lang w:eastAsia="sv-SE"/>
        </w:rPr>
        <w:t xml:space="preserve"> assign </w:t>
      </w:r>
      <w:r w:rsidRPr="00E9512C">
        <w:rPr>
          <w:szCs w:val="22"/>
          <w:lang w:eastAsia="sv-SE"/>
        </w:rPr>
        <w:t>different</w:t>
      </w:r>
      <w:r w:rsidR="006262BE">
        <w:rPr>
          <w:szCs w:val="22"/>
          <w:lang w:eastAsia="sv-SE"/>
        </w:rPr>
        <w:t xml:space="preserve"> </w:t>
      </w:r>
      <w:r w:rsidR="00B14C3D">
        <w:rPr>
          <w:szCs w:val="22"/>
          <w:lang w:eastAsia="sv-SE"/>
        </w:rPr>
        <w:t>pre-emption</w:t>
      </w:r>
      <w:r>
        <w:rPr>
          <w:szCs w:val="22"/>
          <w:lang w:eastAsia="sv-SE"/>
        </w:rPr>
        <w:t xml:space="preserve"> indication</w:t>
      </w:r>
      <w:r w:rsidRPr="00E9512C">
        <w:rPr>
          <w:szCs w:val="22"/>
          <w:lang w:eastAsia="sv-SE"/>
        </w:rPr>
        <w:t xml:space="preserve"> </w:t>
      </w:r>
      <w:r w:rsidRPr="00E9512C">
        <w:rPr>
          <w:szCs w:val="22"/>
          <w:lang w:eastAsia="sv-SE"/>
        </w:rPr>
        <w:lastRenderedPageBreak/>
        <w:t>identifi</w:t>
      </w:r>
      <w:r w:rsidR="00B023A7">
        <w:rPr>
          <w:szCs w:val="22"/>
          <w:lang w:eastAsia="sv-SE"/>
        </w:rPr>
        <w:t>ers to</w:t>
      </w:r>
      <w:r>
        <w:rPr>
          <w:szCs w:val="22"/>
          <w:lang w:eastAsia="sv-SE"/>
        </w:rPr>
        <w:t xml:space="preserve"> different groups of UEs depending on their actual resource </w:t>
      </w:r>
      <w:r w:rsidR="009829B1">
        <w:rPr>
          <w:szCs w:val="22"/>
          <w:lang w:eastAsia="sv-SE"/>
        </w:rPr>
        <w:t>allocations</w:t>
      </w:r>
      <w:r w:rsidR="00894047">
        <w:rPr>
          <w:szCs w:val="22"/>
          <w:lang w:eastAsia="sv-SE"/>
        </w:rPr>
        <w:t xml:space="preserve"> through RRC signalling</w:t>
      </w:r>
      <w:r>
        <w:rPr>
          <w:szCs w:val="22"/>
          <w:lang w:eastAsia="sv-SE"/>
        </w:rPr>
        <w:t>.</w:t>
      </w:r>
      <w:r w:rsidR="00150BA6">
        <w:rPr>
          <w:szCs w:val="22"/>
          <w:lang w:eastAsia="sv-SE"/>
        </w:rPr>
        <w:t xml:space="preserve"> Alternatively, the PI-</w:t>
      </w:r>
      <w:r w:rsidR="00150BA6" w:rsidRPr="00150BA6">
        <w:rPr>
          <w:szCs w:val="22"/>
          <w:lang w:eastAsia="sv-SE"/>
        </w:rPr>
        <w:t xml:space="preserve">RNTI can be </w:t>
      </w:r>
      <w:r w:rsidR="00150BA6" w:rsidRPr="00150BA6">
        <w:rPr>
          <w:color w:val="231F20"/>
          <w:szCs w:val="22"/>
          <w:lang w:val="en-US" w:eastAsia="en-US"/>
        </w:rPr>
        <w:t>fixed in the specifications for all UEs</w:t>
      </w:r>
      <w:r w:rsidR="00D21AA1">
        <w:rPr>
          <w:color w:val="231F20"/>
          <w:szCs w:val="22"/>
          <w:lang w:val="en-US" w:eastAsia="en-US"/>
        </w:rPr>
        <w:t xml:space="preserve"> similar to the SI-RNTI in LTE</w:t>
      </w:r>
      <w:r w:rsidR="00150BA6">
        <w:rPr>
          <w:color w:val="231F20"/>
          <w:szCs w:val="22"/>
          <w:lang w:val="en-US" w:eastAsia="en-US"/>
        </w:rPr>
        <w:t>.</w:t>
      </w:r>
      <w:r w:rsidR="00B023A7">
        <w:rPr>
          <w:color w:val="231F20"/>
          <w:szCs w:val="22"/>
          <w:lang w:val="en-US" w:eastAsia="en-US"/>
        </w:rPr>
        <w:t xml:space="preserve"> In this case, </w:t>
      </w:r>
      <w:r w:rsidR="00D21AA1">
        <w:rPr>
          <w:color w:val="231F20"/>
          <w:szCs w:val="22"/>
          <w:lang w:val="en-US" w:eastAsia="en-US"/>
        </w:rPr>
        <w:t>any UE</w:t>
      </w:r>
      <w:r w:rsidR="00B023A7">
        <w:rPr>
          <w:color w:val="231F20"/>
          <w:szCs w:val="22"/>
          <w:lang w:val="en-US" w:eastAsia="en-US"/>
        </w:rPr>
        <w:t xml:space="preserve"> </w:t>
      </w:r>
      <w:r w:rsidR="00D21AA1">
        <w:rPr>
          <w:color w:val="231F20"/>
          <w:szCs w:val="22"/>
          <w:lang w:val="en-US" w:eastAsia="en-US"/>
        </w:rPr>
        <w:t xml:space="preserve">who is </w:t>
      </w:r>
      <w:r w:rsidR="00B023A7">
        <w:rPr>
          <w:color w:val="231F20"/>
          <w:szCs w:val="22"/>
          <w:lang w:val="en-US" w:eastAsia="en-US"/>
        </w:rPr>
        <w:t xml:space="preserve">configured by higher layer to monitor pre-emption indication </w:t>
      </w:r>
      <w:r w:rsidR="006262BE">
        <w:rPr>
          <w:color w:val="231F20"/>
          <w:szCs w:val="22"/>
          <w:lang w:val="en-US" w:eastAsia="en-US"/>
        </w:rPr>
        <w:t>in a</w:t>
      </w:r>
      <w:r w:rsidR="00B023A7">
        <w:rPr>
          <w:color w:val="231F20"/>
          <w:szCs w:val="22"/>
          <w:lang w:val="en-US" w:eastAsia="en-US"/>
        </w:rPr>
        <w:t xml:space="preserve"> </w:t>
      </w:r>
      <w:r w:rsidR="006262BE">
        <w:rPr>
          <w:color w:val="231F20"/>
          <w:szCs w:val="22"/>
          <w:lang w:val="en-US" w:eastAsia="en-US"/>
        </w:rPr>
        <w:t xml:space="preserve">given </w:t>
      </w:r>
      <w:r w:rsidR="00B023A7">
        <w:rPr>
          <w:color w:val="231F20"/>
          <w:szCs w:val="22"/>
          <w:lang w:val="en-US" w:eastAsia="en-US"/>
        </w:rPr>
        <w:t>slot use</w:t>
      </w:r>
      <w:r w:rsidR="00D21AA1">
        <w:rPr>
          <w:color w:val="231F20"/>
          <w:szCs w:val="22"/>
          <w:lang w:val="en-US" w:eastAsia="en-US"/>
        </w:rPr>
        <w:t>s</w:t>
      </w:r>
      <w:r w:rsidR="00B023A7">
        <w:rPr>
          <w:color w:val="231F20"/>
          <w:szCs w:val="22"/>
          <w:lang w:val="en-US" w:eastAsia="en-US"/>
        </w:rPr>
        <w:t xml:space="preserve"> </w:t>
      </w:r>
      <w:r w:rsidR="00D21AA1">
        <w:rPr>
          <w:color w:val="231F20"/>
          <w:szCs w:val="22"/>
          <w:lang w:val="en-US" w:eastAsia="en-US"/>
        </w:rPr>
        <w:t>the</w:t>
      </w:r>
      <w:r w:rsidR="00B023A7">
        <w:rPr>
          <w:color w:val="231F20"/>
          <w:szCs w:val="22"/>
          <w:lang w:val="en-US" w:eastAsia="en-US"/>
        </w:rPr>
        <w:t xml:space="preserve"> </w:t>
      </w:r>
      <w:r w:rsidR="00D21AA1">
        <w:rPr>
          <w:color w:val="231F20"/>
          <w:szCs w:val="22"/>
          <w:lang w:val="en-US" w:eastAsia="en-US"/>
        </w:rPr>
        <w:t xml:space="preserve">uniquely defined </w:t>
      </w:r>
      <w:r w:rsidR="00B023A7">
        <w:rPr>
          <w:color w:val="231F20"/>
          <w:szCs w:val="22"/>
          <w:lang w:val="en-US" w:eastAsia="en-US"/>
        </w:rPr>
        <w:t xml:space="preserve">PI-RNTI to detect the group-common DCI carrying </w:t>
      </w:r>
      <w:r w:rsidR="00B14C3D">
        <w:rPr>
          <w:color w:val="231F20"/>
          <w:szCs w:val="22"/>
          <w:lang w:val="en-US" w:eastAsia="en-US"/>
        </w:rPr>
        <w:t>pre-emption</w:t>
      </w:r>
      <w:r w:rsidR="00B023A7">
        <w:rPr>
          <w:color w:val="231F20"/>
          <w:szCs w:val="22"/>
          <w:lang w:val="en-US" w:eastAsia="en-US"/>
        </w:rPr>
        <w:t xml:space="preserve"> indication.</w:t>
      </w:r>
      <w:r w:rsidR="00150BA6">
        <w:rPr>
          <w:color w:val="231F20"/>
          <w:szCs w:val="22"/>
          <w:lang w:val="en-US" w:eastAsia="en-US"/>
        </w:rPr>
        <w:t xml:space="preserve"> Perhaps further discussions are needed to determine which approach is more appropriate.</w:t>
      </w:r>
    </w:p>
    <w:p w14:paraId="442EAA74" w14:textId="295D25E2" w:rsidR="00E9512C" w:rsidRPr="00894A3E" w:rsidRDefault="00E9512C" w:rsidP="001F5FD9">
      <w:pPr>
        <w:spacing w:before="240" w:after="0"/>
        <w:rPr>
          <w:i/>
          <w:szCs w:val="22"/>
          <w:lang w:eastAsia="sv-SE"/>
        </w:rPr>
      </w:pPr>
      <w:r w:rsidRPr="00AA3833">
        <w:rPr>
          <w:b/>
          <w:i/>
          <w:szCs w:val="22"/>
          <w:u w:val="single"/>
          <w:lang w:eastAsia="sv-SE"/>
        </w:rPr>
        <w:t xml:space="preserve">Proposal </w:t>
      </w:r>
      <w:r>
        <w:rPr>
          <w:b/>
          <w:i/>
          <w:szCs w:val="22"/>
          <w:u w:val="single"/>
          <w:lang w:eastAsia="sv-SE"/>
        </w:rPr>
        <w:t>2</w:t>
      </w:r>
      <w:r w:rsidRPr="00AA3833">
        <w:rPr>
          <w:b/>
          <w:i/>
          <w:szCs w:val="22"/>
          <w:u w:val="single"/>
          <w:lang w:eastAsia="sv-SE"/>
        </w:rPr>
        <w:t>:</w:t>
      </w:r>
      <w:r w:rsidRPr="00AA3833">
        <w:rPr>
          <w:b/>
          <w:szCs w:val="22"/>
          <w:lang w:eastAsia="sv-SE"/>
        </w:rPr>
        <w:t xml:space="preserve"> </w:t>
      </w:r>
      <w:r w:rsidR="00614D6D">
        <w:rPr>
          <w:i/>
          <w:szCs w:val="22"/>
          <w:lang w:eastAsia="sv-SE"/>
        </w:rPr>
        <w:t xml:space="preserve">Define a </w:t>
      </w:r>
      <w:r w:rsidR="00D42AFC">
        <w:rPr>
          <w:i/>
          <w:szCs w:val="22"/>
          <w:lang w:eastAsia="sv-SE"/>
        </w:rPr>
        <w:t>pre-emption indication identity</w:t>
      </w:r>
      <w:r w:rsidR="00614D6D">
        <w:rPr>
          <w:i/>
          <w:szCs w:val="22"/>
          <w:lang w:eastAsia="sv-SE"/>
        </w:rPr>
        <w:t xml:space="preserve"> (e.g., PI-RNTI)</w:t>
      </w:r>
      <w:r w:rsidR="00DD7518">
        <w:rPr>
          <w:i/>
          <w:szCs w:val="22"/>
          <w:lang w:eastAsia="sv-SE"/>
        </w:rPr>
        <w:t>,</w:t>
      </w:r>
      <w:r w:rsidR="006C4B07">
        <w:rPr>
          <w:i/>
          <w:szCs w:val="22"/>
          <w:lang w:eastAsia="sv-SE"/>
        </w:rPr>
        <w:t xml:space="preserve"> which is</w:t>
      </w:r>
      <w:r w:rsidR="00D42AFC">
        <w:rPr>
          <w:i/>
          <w:szCs w:val="22"/>
          <w:lang w:eastAsia="sv-SE"/>
        </w:rPr>
        <w:t xml:space="preserve"> implicitly encoded in the CRC</w:t>
      </w:r>
      <w:r w:rsidR="00DD7518">
        <w:rPr>
          <w:i/>
          <w:szCs w:val="22"/>
          <w:lang w:eastAsia="sv-SE"/>
        </w:rPr>
        <w:t>,</w:t>
      </w:r>
      <w:r w:rsidR="00D42AFC">
        <w:rPr>
          <w:i/>
          <w:szCs w:val="22"/>
          <w:lang w:eastAsia="sv-SE"/>
        </w:rPr>
        <w:t xml:space="preserve"> </w:t>
      </w:r>
      <w:r w:rsidR="00DD7518">
        <w:rPr>
          <w:i/>
          <w:szCs w:val="22"/>
          <w:lang w:eastAsia="sv-SE"/>
        </w:rPr>
        <w:t xml:space="preserve">for identification </w:t>
      </w:r>
      <w:r w:rsidR="00D42AFC">
        <w:rPr>
          <w:i/>
          <w:szCs w:val="22"/>
          <w:lang w:eastAsia="sv-SE"/>
        </w:rPr>
        <w:t>of the group common DCI carry</w:t>
      </w:r>
      <w:r w:rsidR="00B14C3D">
        <w:rPr>
          <w:i/>
          <w:szCs w:val="22"/>
          <w:lang w:eastAsia="sv-SE"/>
        </w:rPr>
        <w:t>ing pre-emption</w:t>
      </w:r>
      <w:r w:rsidR="00D42AFC">
        <w:rPr>
          <w:i/>
          <w:szCs w:val="22"/>
          <w:lang w:eastAsia="sv-SE"/>
        </w:rPr>
        <w:t xml:space="preserve"> indication</w:t>
      </w:r>
      <w:r w:rsidR="00614D6D">
        <w:rPr>
          <w:i/>
          <w:szCs w:val="22"/>
          <w:lang w:eastAsia="sv-SE"/>
        </w:rPr>
        <w:t>.</w:t>
      </w:r>
      <w:r w:rsidR="006262BE">
        <w:rPr>
          <w:i/>
          <w:szCs w:val="22"/>
          <w:lang w:eastAsia="sv-SE"/>
        </w:rPr>
        <w:t xml:space="preserve"> </w:t>
      </w:r>
    </w:p>
    <w:p w14:paraId="1AF72164" w14:textId="1174B353" w:rsidR="00284B8C" w:rsidRDefault="00003703" w:rsidP="00E82C8E">
      <w:pPr>
        <w:spacing w:before="240"/>
        <w:rPr>
          <w:color w:val="231F20"/>
          <w:szCs w:val="22"/>
          <w:lang w:val="en-US" w:eastAsia="en-US"/>
        </w:rPr>
      </w:pPr>
      <w:r w:rsidRPr="00003703">
        <w:rPr>
          <w:szCs w:val="22"/>
          <w:lang w:eastAsia="sv-SE"/>
        </w:rPr>
        <w:t xml:space="preserve">As for the </w:t>
      </w:r>
      <w:r w:rsidR="009F6247">
        <w:rPr>
          <w:szCs w:val="22"/>
          <w:lang w:eastAsia="sv-SE"/>
        </w:rPr>
        <w:t xml:space="preserve">group common </w:t>
      </w:r>
      <w:r w:rsidRPr="00003703">
        <w:rPr>
          <w:szCs w:val="22"/>
          <w:lang w:eastAsia="sv-SE"/>
        </w:rPr>
        <w:t xml:space="preserve">DCI used for transmission of a </w:t>
      </w:r>
      <w:r w:rsidR="00800419">
        <w:rPr>
          <w:szCs w:val="22"/>
          <w:lang w:eastAsia="sv-SE"/>
        </w:rPr>
        <w:t>PI</w:t>
      </w:r>
      <w:r w:rsidRPr="00003703">
        <w:rPr>
          <w:szCs w:val="22"/>
          <w:lang w:eastAsia="sv-SE"/>
        </w:rPr>
        <w:t xml:space="preserve">, </w:t>
      </w:r>
      <w:r>
        <w:rPr>
          <w:szCs w:val="22"/>
          <w:lang w:eastAsia="sv-SE"/>
        </w:rPr>
        <w:t>based on the recent agreements</w:t>
      </w:r>
      <w:r w:rsidR="001A4430">
        <w:rPr>
          <w:szCs w:val="22"/>
          <w:lang w:eastAsia="sv-SE"/>
        </w:rPr>
        <w:t>,</w:t>
      </w:r>
      <w:r>
        <w:rPr>
          <w:szCs w:val="22"/>
          <w:lang w:eastAsia="sv-SE"/>
        </w:rPr>
        <w:t xml:space="preserve"> </w:t>
      </w:r>
      <w:r w:rsidRPr="00003703">
        <w:rPr>
          <w:szCs w:val="22"/>
          <w:lang w:eastAsia="sv-SE"/>
        </w:rPr>
        <w:t xml:space="preserve">the DCI should </w:t>
      </w:r>
      <w:r>
        <w:rPr>
          <w:szCs w:val="22"/>
          <w:lang w:eastAsia="sv-SE"/>
        </w:rPr>
        <w:t xml:space="preserve">at least </w:t>
      </w:r>
      <w:r w:rsidRPr="00003703">
        <w:rPr>
          <w:szCs w:val="22"/>
          <w:lang w:eastAsia="sv-SE"/>
        </w:rPr>
        <w:t xml:space="preserve">include </w:t>
      </w:r>
      <w:r>
        <w:rPr>
          <w:szCs w:val="22"/>
          <w:lang w:eastAsia="sv-SE"/>
        </w:rPr>
        <w:t xml:space="preserve">the </w:t>
      </w:r>
      <w:r w:rsidRPr="00003703">
        <w:rPr>
          <w:color w:val="231F20"/>
          <w:szCs w:val="22"/>
          <w:lang w:val="en-US" w:eastAsia="en-US"/>
        </w:rPr>
        <w:t xml:space="preserve">DL </w:t>
      </w:r>
      <w:r w:rsidR="001A4430">
        <w:rPr>
          <w:color w:val="231F20"/>
          <w:szCs w:val="22"/>
          <w:lang w:val="en-US" w:eastAsia="en-US"/>
        </w:rPr>
        <w:t xml:space="preserve">time-frequency </w:t>
      </w:r>
      <w:r w:rsidRPr="00003703">
        <w:rPr>
          <w:color w:val="231F20"/>
          <w:szCs w:val="22"/>
          <w:lang w:val="en-US" w:eastAsia="en-US"/>
        </w:rPr>
        <w:t>physical resources which are pre</w:t>
      </w:r>
      <w:r w:rsidR="009F5ABE">
        <w:rPr>
          <w:color w:val="231F20"/>
          <w:szCs w:val="22"/>
          <w:lang w:val="en-US" w:eastAsia="en-US"/>
        </w:rPr>
        <w:t>-</w:t>
      </w:r>
      <w:r w:rsidRPr="00003703">
        <w:rPr>
          <w:color w:val="231F20"/>
          <w:szCs w:val="22"/>
          <w:lang w:val="en-US" w:eastAsia="en-US"/>
        </w:rPr>
        <w:t>empted</w:t>
      </w:r>
      <w:r>
        <w:rPr>
          <w:color w:val="231F20"/>
          <w:szCs w:val="22"/>
          <w:lang w:val="en-US" w:eastAsia="en-US"/>
        </w:rPr>
        <w:t xml:space="preserve">. However, in order to avoid </w:t>
      </w:r>
      <w:r w:rsidR="002847E2">
        <w:rPr>
          <w:color w:val="231F20"/>
          <w:szCs w:val="22"/>
          <w:lang w:val="en-US" w:eastAsia="en-US"/>
        </w:rPr>
        <w:t>a</w:t>
      </w:r>
      <w:r>
        <w:rPr>
          <w:color w:val="231F20"/>
          <w:szCs w:val="22"/>
          <w:lang w:val="en-US" w:eastAsia="en-US"/>
        </w:rPr>
        <w:t xml:space="preserve"> higher blind decoding overhead, the DCI message </w:t>
      </w:r>
      <w:r w:rsidR="00565E04">
        <w:rPr>
          <w:color w:val="231F20"/>
          <w:szCs w:val="22"/>
          <w:lang w:val="en-US" w:eastAsia="en-US"/>
        </w:rPr>
        <w:t>size</w:t>
      </w:r>
      <w:r>
        <w:rPr>
          <w:color w:val="231F20"/>
          <w:szCs w:val="22"/>
          <w:lang w:val="en-US" w:eastAsia="en-US"/>
        </w:rPr>
        <w:t xml:space="preserve"> could be matched to the </w:t>
      </w:r>
      <w:r w:rsidR="00565E04">
        <w:rPr>
          <w:color w:val="231F20"/>
          <w:szCs w:val="22"/>
          <w:lang w:val="en-US" w:eastAsia="en-US"/>
        </w:rPr>
        <w:t>size</w:t>
      </w:r>
      <w:r>
        <w:rPr>
          <w:color w:val="231F20"/>
          <w:szCs w:val="22"/>
          <w:lang w:val="en-US" w:eastAsia="en-US"/>
        </w:rPr>
        <w:t xml:space="preserve"> of other </w:t>
      </w:r>
      <w:r w:rsidR="00E82C8E">
        <w:rPr>
          <w:color w:val="231F20"/>
          <w:szCs w:val="22"/>
          <w:lang w:val="en-US" w:eastAsia="en-US"/>
        </w:rPr>
        <w:t xml:space="preserve">group common </w:t>
      </w:r>
      <w:r>
        <w:rPr>
          <w:color w:val="231F20"/>
          <w:szCs w:val="22"/>
          <w:lang w:val="en-US" w:eastAsia="en-US"/>
        </w:rPr>
        <w:t>DCI</w:t>
      </w:r>
      <w:r w:rsidR="00565E04">
        <w:rPr>
          <w:color w:val="231F20"/>
          <w:szCs w:val="22"/>
          <w:lang w:val="en-US" w:eastAsia="en-US"/>
        </w:rPr>
        <w:t xml:space="preserve"> messages</w:t>
      </w:r>
      <w:r w:rsidR="00E82C8E">
        <w:rPr>
          <w:color w:val="231F20"/>
          <w:szCs w:val="22"/>
          <w:lang w:val="en-US" w:eastAsia="en-US"/>
        </w:rPr>
        <w:t xml:space="preserve"> such as SI, paging, </w:t>
      </w:r>
      <w:r w:rsidR="009F6247">
        <w:rPr>
          <w:color w:val="231F20"/>
          <w:szCs w:val="22"/>
          <w:lang w:val="en-US" w:eastAsia="en-US"/>
        </w:rPr>
        <w:t xml:space="preserve">RA, </w:t>
      </w:r>
      <w:r w:rsidR="00E82C8E">
        <w:rPr>
          <w:color w:val="231F20"/>
          <w:szCs w:val="22"/>
          <w:lang w:val="en-US" w:eastAsia="en-US"/>
        </w:rPr>
        <w:t xml:space="preserve">TPC, etc. </w:t>
      </w:r>
      <w:r>
        <w:rPr>
          <w:color w:val="231F20"/>
          <w:szCs w:val="22"/>
          <w:lang w:val="en-US" w:eastAsia="en-US"/>
        </w:rPr>
        <w:t xml:space="preserve">(e.g., </w:t>
      </w:r>
      <w:r w:rsidR="00565E04">
        <w:rPr>
          <w:color w:val="231F20"/>
          <w:szCs w:val="22"/>
          <w:lang w:val="en-US" w:eastAsia="en-US"/>
        </w:rPr>
        <w:t>using</w:t>
      </w:r>
      <w:r>
        <w:rPr>
          <w:color w:val="231F20"/>
          <w:szCs w:val="22"/>
          <w:lang w:val="en-US" w:eastAsia="en-US"/>
        </w:rPr>
        <w:t xml:space="preserve"> padding).</w:t>
      </w:r>
      <w:r w:rsidR="009829B1">
        <w:rPr>
          <w:color w:val="231F20"/>
          <w:szCs w:val="22"/>
          <w:lang w:val="en-US" w:eastAsia="en-US"/>
        </w:rPr>
        <w:t xml:space="preserve"> </w:t>
      </w:r>
    </w:p>
    <w:p w14:paraId="71F384CB" w14:textId="41599328" w:rsidR="00E82C8E" w:rsidRDefault="00E82C8E" w:rsidP="00E82C8E">
      <w:pPr>
        <w:spacing w:before="240"/>
        <w:rPr>
          <w:color w:val="231F20"/>
          <w:szCs w:val="22"/>
          <w:lang w:val="en-US" w:eastAsia="en-US"/>
        </w:rPr>
      </w:pPr>
      <w:r w:rsidRPr="00AA3833">
        <w:rPr>
          <w:b/>
          <w:i/>
          <w:szCs w:val="22"/>
          <w:u w:val="single"/>
          <w:lang w:eastAsia="sv-SE"/>
        </w:rPr>
        <w:t xml:space="preserve">Proposal </w:t>
      </w:r>
      <w:r>
        <w:rPr>
          <w:b/>
          <w:i/>
          <w:szCs w:val="22"/>
          <w:u w:val="single"/>
          <w:lang w:eastAsia="sv-SE"/>
        </w:rPr>
        <w:t>3</w:t>
      </w:r>
      <w:r w:rsidRPr="00AA3833">
        <w:rPr>
          <w:b/>
          <w:i/>
          <w:szCs w:val="22"/>
          <w:u w:val="single"/>
          <w:lang w:eastAsia="sv-SE"/>
        </w:rPr>
        <w:t>:</w:t>
      </w:r>
      <w:r w:rsidRPr="00AA3833">
        <w:rPr>
          <w:b/>
          <w:szCs w:val="22"/>
          <w:lang w:eastAsia="sv-SE"/>
        </w:rPr>
        <w:t xml:space="preserve"> </w:t>
      </w:r>
      <w:r>
        <w:rPr>
          <w:i/>
          <w:szCs w:val="22"/>
          <w:lang w:eastAsia="sv-SE"/>
        </w:rPr>
        <w:t xml:space="preserve">The group common DCI message size carrying </w:t>
      </w:r>
      <w:r w:rsidR="00B14C3D">
        <w:rPr>
          <w:i/>
          <w:szCs w:val="22"/>
          <w:lang w:eastAsia="sv-SE"/>
        </w:rPr>
        <w:t>pre-emption</w:t>
      </w:r>
      <w:r>
        <w:rPr>
          <w:i/>
          <w:szCs w:val="22"/>
          <w:lang w:eastAsia="sv-SE"/>
        </w:rPr>
        <w:t xml:space="preserve"> indication should be matched to the size of other group common DCI messages.</w:t>
      </w:r>
    </w:p>
    <w:p w14:paraId="4A0DF5C8" w14:textId="0885F492" w:rsidR="00481955" w:rsidRDefault="009829B1" w:rsidP="00E82C8E">
      <w:pPr>
        <w:spacing w:before="240"/>
        <w:rPr>
          <w:color w:val="231F20"/>
          <w:szCs w:val="22"/>
          <w:lang w:val="en-US" w:eastAsia="en-US"/>
        </w:rPr>
      </w:pPr>
      <w:r w:rsidRPr="00284B8C">
        <w:rPr>
          <w:color w:val="231F20"/>
          <w:szCs w:val="22"/>
          <w:lang w:val="en-US" w:eastAsia="en-US"/>
        </w:rPr>
        <w:t xml:space="preserve">As for the granularity of the time and/or frequency resources, the </w:t>
      </w:r>
      <w:r w:rsidR="00443D29" w:rsidRPr="00284B8C">
        <w:rPr>
          <w:color w:val="231F20"/>
          <w:szCs w:val="22"/>
          <w:lang w:val="en-US" w:eastAsia="en-US"/>
        </w:rPr>
        <w:t>impacted P</w:t>
      </w:r>
      <w:r w:rsidRPr="00284B8C">
        <w:rPr>
          <w:color w:val="231F20"/>
          <w:szCs w:val="22"/>
          <w:lang w:val="en-US" w:eastAsia="en-US"/>
        </w:rPr>
        <w:t xml:space="preserve">RBs in the frequency domain as well as the </w:t>
      </w:r>
      <w:r w:rsidR="00443D29" w:rsidRPr="00284B8C">
        <w:rPr>
          <w:color w:val="231F20"/>
          <w:szCs w:val="22"/>
          <w:lang w:val="en-US" w:eastAsia="en-US"/>
        </w:rPr>
        <w:t xml:space="preserve">impacted </w:t>
      </w:r>
      <w:r w:rsidRPr="00284B8C">
        <w:rPr>
          <w:color w:val="231F20"/>
          <w:szCs w:val="22"/>
          <w:lang w:val="en-US" w:eastAsia="en-US"/>
        </w:rPr>
        <w:t xml:space="preserve">OFDM symbols in the time domain should be </w:t>
      </w:r>
      <w:r w:rsidR="000207A8">
        <w:rPr>
          <w:color w:val="231F20"/>
          <w:szCs w:val="22"/>
          <w:lang w:val="en-US" w:eastAsia="en-US"/>
        </w:rPr>
        <w:t xml:space="preserve">signaled to the UE </w:t>
      </w:r>
      <w:r w:rsidR="00FF758F">
        <w:rPr>
          <w:color w:val="231F20"/>
          <w:szCs w:val="22"/>
          <w:lang w:val="en-US" w:eastAsia="en-US"/>
        </w:rPr>
        <w:t xml:space="preserve">resulting in </w:t>
      </w:r>
      <w:r w:rsidR="000207A8">
        <w:rPr>
          <w:color w:val="231F20"/>
          <w:szCs w:val="22"/>
          <w:lang w:val="en-US" w:eastAsia="en-US"/>
        </w:rPr>
        <w:t xml:space="preserve">a </w:t>
      </w:r>
      <w:r w:rsidR="00284B8C">
        <w:rPr>
          <w:color w:val="231F20"/>
          <w:szCs w:val="22"/>
          <w:lang w:val="en-US" w:eastAsia="en-US"/>
        </w:rPr>
        <w:t xml:space="preserve">PRB-level frequency-resource granularity and </w:t>
      </w:r>
      <w:r w:rsidR="000207A8">
        <w:rPr>
          <w:color w:val="231F20"/>
          <w:szCs w:val="22"/>
          <w:lang w:val="en-US" w:eastAsia="en-US"/>
        </w:rPr>
        <w:t xml:space="preserve">an </w:t>
      </w:r>
      <w:r w:rsidR="00284B8C">
        <w:rPr>
          <w:color w:val="231F20"/>
          <w:szCs w:val="22"/>
          <w:lang w:val="en-US" w:eastAsia="en-US"/>
        </w:rPr>
        <w:t>OFDM-symbol level time-resource granularity</w:t>
      </w:r>
      <w:r>
        <w:rPr>
          <w:color w:val="231F20"/>
          <w:szCs w:val="22"/>
          <w:lang w:val="en-US" w:eastAsia="en-US"/>
        </w:rPr>
        <w:t>.</w:t>
      </w:r>
      <w:r w:rsidR="00443D29">
        <w:rPr>
          <w:color w:val="231F20"/>
          <w:szCs w:val="22"/>
          <w:lang w:val="en-US" w:eastAsia="en-US"/>
        </w:rPr>
        <w:t xml:space="preserve"> </w:t>
      </w:r>
      <w:r w:rsidR="00A8074D">
        <w:rPr>
          <w:color w:val="231F20"/>
          <w:szCs w:val="22"/>
          <w:lang w:val="en-US" w:eastAsia="en-US"/>
        </w:rPr>
        <w:t xml:space="preserve">This approach is to maximize the benefit of the pre-emptive indication </w:t>
      </w:r>
      <w:r w:rsidR="00284B8C">
        <w:rPr>
          <w:color w:val="231F20"/>
          <w:szCs w:val="22"/>
          <w:lang w:val="en-US" w:eastAsia="en-US"/>
        </w:rPr>
        <w:t>by identifying the exact resource</w:t>
      </w:r>
      <w:r w:rsidR="008E49D0">
        <w:rPr>
          <w:color w:val="231F20"/>
          <w:szCs w:val="22"/>
          <w:lang w:val="en-US" w:eastAsia="en-US"/>
        </w:rPr>
        <w:t>s</w:t>
      </w:r>
      <w:r w:rsidR="00284B8C">
        <w:rPr>
          <w:color w:val="231F20"/>
          <w:szCs w:val="22"/>
          <w:lang w:val="en-US" w:eastAsia="en-US"/>
        </w:rPr>
        <w:t xml:space="preserve"> that are pre-empted </w:t>
      </w:r>
      <w:r w:rsidR="00A8074D">
        <w:rPr>
          <w:color w:val="231F20"/>
          <w:szCs w:val="22"/>
          <w:lang w:val="en-US" w:eastAsia="en-US"/>
        </w:rPr>
        <w:t xml:space="preserve">given that the </w:t>
      </w:r>
      <w:r w:rsidR="009F5ABE">
        <w:rPr>
          <w:color w:val="231F20"/>
          <w:szCs w:val="22"/>
          <w:lang w:val="en-US" w:eastAsia="en-US"/>
        </w:rPr>
        <w:t xml:space="preserve">URLLC transmissions most likely will </w:t>
      </w:r>
      <w:r w:rsidR="00A8074D">
        <w:rPr>
          <w:color w:val="231F20"/>
          <w:szCs w:val="22"/>
          <w:lang w:val="en-US" w:eastAsia="en-US"/>
        </w:rPr>
        <w:t xml:space="preserve">impact a small subset of the physical resources allocated for eMBB transmissions. </w:t>
      </w:r>
    </w:p>
    <w:p w14:paraId="0FDE33E3" w14:textId="7C7FC160" w:rsidR="006274A6" w:rsidRDefault="00481955" w:rsidP="006274A6">
      <w:pPr>
        <w:rPr>
          <w:color w:val="231F20"/>
          <w:szCs w:val="22"/>
          <w:lang w:val="en-US" w:eastAsia="en-US"/>
        </w:rPr>
      </w:pPr>
      <w:r>
        <w:rPr>
          <w:color w:val="231F20"/>
          <w:szCs w:val="22"/>
          <w:lang w:val="en-US" w:eastAsia="en-US"/>
        </w:rPr>
        <w:t>Note that f</w:t>
      </w:r>
      <w:r w:rsidR="00A8074D">
        <w:rPr>
          <w:color w:val="231F20"/>
          <w:szCs w:val="22"/>
          <w:lang w:val="en-US" w:eastAsia="en-US"/>
        </w:rPr>
        <w:t xml:space="preserve">or larger </w:t>
      </w:r>
      <w:r w:rsidR="00FF758F">
        <w:rPr>
          <w:color w:val="231F20"/>
          <w:szCs w:val="22"/>
          <w:lang w:val="en-US" w:eastAsia="en-US"/>
        </w:rPr>
        <w:t>granularity</w:t>
      </w:r>
      <w:r w:rsidR="00A8074D">
        <w:rPr>
          <w:color w:val="231F20"/>
          <w:szCs w:val="22"/>
          <w:lang w:val="en-US" w:eastAsia="en-US"/>
        </w:rPr>
        <w:t xml:space="preserve">, the gNB may configure the UE with the CBG-based retransmission mechanism rather than the </w:t>
      </w:r>
      <w:r>
        <w:rPr>
          <w:color w:val="231F20"/>
          <w:szCs w:val="22"/>
          <w:lang w:val="en-US" w:eastAsia="en-US"/>
        </w:rPr>
        <w:t>PI and as such the PI may not be needed.</w:t>
      </w:r>
    </w:p>
    <w:p w14:paraId="3E11AE60" w14:textId="2F2363E9" w:rsidR="00E85FDD" w:rsidRDefault="00E85FDD" w:rsidP="00E82C8E">
      <w:pPr>
        <w:spacing w:before="240"/>
        <w:rPr>
          <w:i/>
          <w:szCs w:val="22"/>
          <w:lang w:eastAsia="sv-SE"/>
        </w:rPr>
      </w:pPr>
      <w:r w:rsidRPr="00AA3833">
        <w:rPr>
          <w:b/>
          <w:i/>
          <w:szCs w:val="22"/>
          <w:u w:val="single"/>
          <w:lang w:eastAsia="sv-SE"/>
        </w:rPr>
        <w:t xml:space="preserve">Proposal </w:t>
      </w:r>
      <w:r w:rsidR="00E82C8E">
        <w:rPr>
          <w:b/>
          <w:i/>
          <w:szCs w:val="22"/>
          <w:u w:val="single"/>
          <w:lang w:eastAsia="sv-SE"/>
        </w:rPr>
        <w:t>4</w:t>
      </w:r>
      <w:r w:rsidRPr="00AA3833">
        <w:rPr>
          <w:b/>
          <w:i/>
          <w:szCs w:val="22"/>
          <w:u w:val="single"/>
          <w:lang w:eastAsia="sv-SE"/>
        </w:rPr>
        <w:t>:</w:t>
      </w:r>
      <w:r w:rsidRPr="00AA3833">
        <w:rPr>
          <w:b/>
          <w:szCs w:val="22"/>
          <w:lang w:eastAsia="sv-SE"/>
        </w:rPr>
        <w:t xml:space="preserve"> </w:t>
      </w:r>
      <w:r w:rsidRPr="00E85FDD">
        <w:rPr>
          <w:i/>
          <w:szCs w:val="22"/>
          <w:lang w:eastAsia="sv-SE"/>
        </w:rPr>
        <w:t xml:space="preserve">For </w:t>
      </w:r>
      <w:r w:rsidR="00FF758F" w:rsidRPr="00E85FDD">
        <w:rPr>
          <w:i/>
          <w:szCs w:val="22"/>
          <w:lang w:eastAsia="sv-SE"/>
        </w:rPr>
        <w:t>pre-emption</w:t>
      </w:r>
      <w:r w:rsidRPr="00E85FDD">
        <w:rPr>
          <w:i/>
          <w:szCs w:val="22"/>
          <w:lang w:eastAsia="sv-SE"/>
        </w:rPr>
        <w:t xml:space="preserve"> indication</w:t>
      </w:r>
      <w:r>
        <w:rPr>
          <w:i/>
          <w:szCs w:val="22"/>
          <w:lang w:eastAsia="sv-SE"/>
        </w:rPr>
        <w:t>,</w:t>
      </w:r>
      <w:r w:rsidRPr="00E85FDD">
        <w:rPr>
          <w:i/>
          <w:szCs w:val="22"/>
          <w:lang w:eastAsia="sv-SE"/>
        </w:rPr>
        <w:t xml:space="preserve"> </w:t>
      </w:r>
      <w:r>
        <w:rPr>
          <w:i/>
          <w:szCs w:val="22"/>
          <w:lang w:eastAsia="sv-SE"/>
        </w:rPr>
        <w:t xml:space="preserve">the granularity of the frequency resources should be at the </w:t>
      </w:r>
      <w:r w:rsidR="00284B8C">
        <w:rPr>
          <w:i/>
          <w:szCs w:val="22"/>
          <w:lang w:eastAsia="sv-SE"/>
        </w:rPr>
        <w:t>P</w:t>
      </w:r>
      <w:r>
        <w:rPr>
          <w:i/>
          <w:szCs w:val="22"/>
          <w:lang w:eastAsia="sv-SE"/>
        </w:rPr>
        <w:t>RB-level and the granularity of the time resources should be at the OFDM-symbol level</w:t>
      </w:r>
      <w:r w:rsidRPr="00894A3E">
        <w:rPr>
          <w:i/>
          <w:szCs w:val="22"/>
          <w:lang w:eastAsia="sv-SE"/>
        </w:rPr>
        <w:t>.</w:t>
      </w:r>
    </w:p>
    <w:p w14:paraId="7BBCA47A" w14:textId="6EF804BB" w:rsidR="000207A8" w:rsidRDefault="000207A8" w:rsidP="00E82C8E">
      <w:pPr>
        <w:spacing w:before="240"/>
        <w:rPr>
          <w:color w:val="231F20"/>
          <w:szCs w:val="22"/>
          <w:lang w:val="en-US" w:eastAsia="en-US"/>
        </w:rPr>
      </w:pPr>
      <w:r w:rsidRPr="00284B8C">
        <w:rPr>
          <w:color w:val="231F20"/>
          <w:szCs w:val="22"/>
          <w:lang w:val="en-US" w:eastAsia="en-US"/>
        </w:rPr>
        <w:t xml:space="preserve">As for the </w:t>
      </w:r>
      <w:r>
        <w:rPr>
          <w:color w:val="231F20"/>
          <w:szCs w:val="22"/>
          <w:lang w:val="en-US" w:eastAsia="en-US"/>
        </w:rPr>
        <w:t>signaling of</w:t>
      </w:r>
      <w:r w:rsidR="003270CE">
        <w:rPr>
          <w:color w:val="231F20"/>
          <w:szCs w:val="22"/>
          <w:lang w:val="en-US" w:eastAsia="en-US"/>
        </w:rPr>
        <w:t xml:space="preserve"> the time-</w:t>
      </w:r>
      <w:r w:rsidRPr="00284B8C">
        <w:rPr>
          <w:color w:val="231F20"/>
          <w:szCs w:val="22"/>
          <w:lang w:val="en-US" w:eastAsia="en-US"/>
        </w:rPr>
        <w:t>frequency resources,</w:t>
      </w:r>
      <w:r>
        <w:rPr>
          <w:color w:val="231F20"/>
          <w:szCs w:val="22"/>
          <w:lang w:val="en-US" w:eastAsia="en-US"/>
        </w:rPr>
        <w:t xml:space="preserve"> it can either be explicitly included in the group-common DCI carrying the </w:t>
      </w:r>
      <w:r w:rsidR="00B14C3D">
        <w:rPr>
          <w:color w:val="231F20"/>
          <w:szCs w:val="22"/>
          <w:lang w:val="en-US" w:eastAsia="en-US"/>
        </w:rPr>
        <w:t>pre-emption</w:t>
      </w:r>
      <w:r>
        <w:rPr>
          <w:color w:val="231F20"/>
          <w:szCs w:val="22"/>
          <w:lang w:val="en-US" w:eastAsia="en-US"/>
        </w:rPr>
        <w:t xml:space="preserve"> indication or </w:t>
      </w:r>
      <w:r w:rsidR="003270CE">
        <w:rPr>
          <w:color w:val="231F20"/>
          <w:szCs w:val="22"/>
          <w:lang w:val="en-US" w:eastAsia="en-US"/>
        </w:rPr>
        <w:t>they can</w:t>
      </w:r>
      <w:r>
        <w:rPr>
          <w:color w:val="231F20"/>
          <w:szCs w:val="22"/>
          <w:lang w:val="en-US" w:eastAsia="en-US"/>
        </w:rPr>
        <w:t xml:space="preserve"> be configured by RRC and then an index to </w:t>
      </w:r>
      <w:r w:rsidR="003270CE">
        <w:rPr>
          <w:color w:val="231F20"/>
          <w:szCs w:val="22"/>
          <w:lang w:val="en-US" w:eastAsia="en-US"/>
        </w:rPr>
        <w:t>one of the pre-specified time-frequency resource configurations</w:t>
      </w:r>
      <w:r>
        <w:rPr>
          <w:color w:val="231F20"/>
          <w:szCs w:val="22"/>
          <w:lang w:val="en-US" w:eastAsia="en-US"/>
        </w:rPr>
        <w:t xml:space="preserve"> is included in the DCI.</w:t>
      </w:r>
      <w:r w:rsidR="003270CE">
        <w:rPr>
          <w:color w:val="231F20"/>
          <w:szCs w:val="22"/>
          <w:lang w:val="en-US" w:eastAsia="en-US"/>
        </w:rPr>
        <w:t xml:space="preserve"> Obviously, the latter approach has a lower </w:t>
      </w:r>
      <w:r w:rsidR="00B15DA7">
        <w:rPr>
          <w:color w:val="231F20"/>
          <w:szCs w:val="22"/>
          <w:lang w:val="en-US" w:eastAsia="en-US"/>
        </w:rPr>
        <w:t>overhead</w:t>
      </w:r>
      <w:r w:rsidR="003270CE">
        <w:rPr>
          <w:color w:val="231F20"/>
          <w:szCs w:val="22"/>
          <w:lang w:val="en-US" w:eastAsia="en-US"/>
        </w:rPr>
        <w:t xml:space="preserve"> compared to the explicit signaling of the resources in the group common DCI. However, any </w:t>
      </w:r>
      <w:r w:rsidR="00B15DA7">
        <w:rPr>
          <w:color w:val="231F20"/>
          <w:szCs w:val="22"/>
          <w:lang w:val="en-US" w:eastAsia="en-US"/>
        </w:rPr>
        <w:t>decision</w:t>
      </w:r>
      <w:r w:rsidR="003270CE">
        <w:rPr>
          <w:color w:val="231F20"/>
          <w:szCs w:val="22"/>
          <w:lang w:val="en-US" w:eastAsia="en-US"/>
        </w:rPr>
        <w:t xml:space="preserve"> on this aspect may need to take into account the DCI message sizes of other group-common DCIs if one wants to match the size of the group-common DCI carrying </w:t>
      </w:r>
      <w:r w:rsidR="00B14C3D">
        <w:rPr>
          <w:color w:val="231F20"/>
          <w:szCs w:val="22"/>
          <w:lang w:val="en-US" w:eastAsia="en-US"/>
        </w:rPr>
        <w:t>pre-emption</w:t>
      </w:r>
      <w:r w:rsidR="003270CE">
        <w:rPr>
          <w:color w:val="231F20"/>
          <w:szCs w:val="22"/>
          <w:lang w:val="en-US" w:eastAsia="en-US"/>
        </w:rPr>
        <w:t xml:space="preserve"> indication to the size of other group-common DCI messages to lower blind decoding overhead as indicated in Proposal 3.</w:t>
      </w:r>
    </w:p>
    <w:p w14:paraId="6CA5EE1C" w14:textId="77777777" w:rsidR="009D4689" w:rsidRPr="00894A3E" w:rsidRDefault="009D4689" w:rsidP="00E82C8E">
      <w:pPr>
        <w:spacing w:before="240"/>
        <w:rPr>
          <w:i/>
          <w:szCs w:val="22"/>
          <w:lang w:eastAsia="sv-SE"/>
        </w:rPr>
      </w:pPr>
    </w:p>
    <w:p w14:paraId="773CD630" w14:textId="24E09B50" w:rsidR="009F5ABE" w:rsidRPr="00C740A9" w:rsidRDefault="009F5ABE" w:rsidP="009F5ABE">
      <w:pPr>
        <w:pStyle w:val="Heading1"/>
        <w:pBdr>
          <w:top w:val="single" w:sz="12" w:space="5" w:color="auto"/>
        </w:pBdr>
        <w:spacing w:after="120" w:line="360" w:lineRule="auto"/>
        <w:rPr>
          <w:rFonts w:ascii="Times New Roman" w:hAnsi="Times New Roman"/>
          <w:b/>
          <w:sz w:val="32"/>
          <w:szCs w:val="32"/>
          <w:lang w:val="en-US"/>
        </w:rPr>
      </w:pPr>
      <w:r>
        <w:rPr>
          <w:rFonts w:ascii="Times New Roman" w:hAnsi="Times New Roman"/>
          <w:b/>
          <w:sz w:val="32"/>
          <w:szCs w:val="32"/>
        </w:rPr>
        <w:t>Timing of the pre-emption indication</w:t>
      </w:r>
    </w:p>
    <w:p w14:paraId="555F2963" w14:textId="446786AC" w:rsidR="00E85FDD" w:rsidRDefault="009F5ABE" w:rsidP="006274A6">
      <w:pPr>
        <w:rPr>
          <w:szCs w:val="22"/>
          <w:lang w:eastAsia="sv-SE"/>
        </w:rPr>
      </w:pPr>
      <w:r>
        <w:rPr>
          <w:szCs w:val="22"/>
          <w:lang w:eastAsia="sv-SE"/>
        </w:rPr>
        <w:t xml:space="preserve">Given that </w:t>
      </w:r>
      <w:r w:rsidRPr="009F5ABE">
        <w:rPr>
          <w:szCs w:val="22"/>
          <w:lang w:eastAsia="sv-SE"/>
        </w:rPr>
        <w:t>the pre-emption indication (PI) is</w:t>
      </w:r>
      <w:r>
        <w:rPr>
          <w:szCs w:val="22"/>
          <w:lang w:eastAsia="sv-SE"/>
        </w:rPr>
        <w:t xml:space="preserve"> agreed to be</w:t>
      </w:r>
      <w:r w:rsidRPr="009F5ABE">
        <w:rPr>
          <w:szCs w:val="22"/>
          <w:lang w:eastAsia="sv-SE"/>
        </w:rPr>
        <w:t xml:space="preserve"> transmitted </w:t>
      </w:r>
      <w:r w:rsidR="000207A8">
        <w:rPr>
          <w:szCs w:val="22"/>
          <w:lang w:eastAsia="sv-SE"/>
        </w:rPr>
        <w:t>using a</w:t>
      </w:r>
      <w:r w:rsidR="000E240A">
        <w:rPr>
          <w:szCs w:val="22"/>
          <w:lang w:eastAsia="sv-SE"/>
        </w:rPr>
        <w:t xml:space="preserve"> </w:t>
      </w:r>
      <w:r w:rsidRPr="009F5ABE">
        <w:rPr>
          <w:szCs w:val="22"/>
          <w:lang w:eastAsia="sv-SE"/>
        </w:rPr>
        <w:t>PDCCH</w:t>
      </w:r>
      <w:r>
        <w:rPr>
          <w:szCs w:val="22"/>
          <w:lang w:eastAsia="sv-SE"/>
        </w:rPr>
        <w:t xml:space="preserve">, the most logical occasion to transmit the pre-emption indication is at the beginning of the next slot. Besides, referring to </w:t>
      </w:r>
      <w:r w:rsidR="000207A8">
        <w:rPr>
          <w:szCs w:val="22"/>
          <w:lang w:eastAsia="sv-SE"/>
        </w:rPr>
        <w:t>the</w:t>
      </w:r>
      <w:r>
        <w:rPr>
          <w:szCs w:val="22"/>
          <w:lang w:eastAsia="sv-SE"/>
        </w:rPr>
        <w:t xml:space="preserve"> earlier </w:t>
      </w:r>
      <w:r w:rsidR="000207A8">
        <w:rPr>
          <w:szCs w:val="22"/>
          <w:lang w:eastAsia="sv-SE"/>
        </w:rPr>
        <w:t xml:space="preserve">agreement </w:t>
      </w:r>
      <w:r>
        <w:rPr>
          <w:szCs w:val="22"/>
          <w:lang w:eastAsia="sv-SE"/>
        </w:rPr>
        <w:t>for transmitting the pre-empti</w:t>
      </w:r>
      <w:r w:rsidR="00565E04">
        <w:rPr>
          <w:szCs w:val="22"/>
          <w:lang w:eastAsia="sv-SE"/>
        </w:rPr>
        <w:t>on indication o</w:t>
      </w:r>
      <w:r w:rsidR="000207A8">
        <w:rPr>
          <w:szCs w:val="22"/>
          <w:lang w:eastAsia="sv-SE"/>
        </w:rPr>
        <w:t xml:space="preserve">n a group </w:t>
      </w:r>
      <w:r>
        <w:rPr>
          <w:szCs w:val="22"/>
          <w:lang w:eastAsia="sv-SE"/>
        </w:rPr>
        <w:t>common</w:t>
      </w:r>
      <w:r w:rsidR="000207A8">
        <w:rPr>
          <w:szCs w:val="22"/>
          <w:lang w:eastAsia="sv-SE"/>
        </w:rPr>
        <w:t xml:space="preserve"> DCI</w:t>
      </w:r>
      <w:r>
        <w:rPr>
          <w:szCs w:val="22"/>
          <w:lang w:eastAsia="sv-SE"/>
        </w:rPr>
        <w:t xml:space="preserve">, there won’t be any impact on the blind decoding attempts by the UE as long as the DCI </w:t>
      </w:r>
      <w:r w:rsidR="00565E04">
        <w:rPr>
          <w:szCs w:val="22"/>
          <w:lang w:eastAsia="sv-SE"/>
        </w:rPr>
        <w:t xml:space="preserve">used for carrying </w:t>
      </w:r>
      <w:r w:rsidR="000207A8">
        <w:rPr>
          <w:szCs w:val="22"/>
          <w:lang w:eastAsia="sv-SE"/>
        </w:rPr>
        <w:t xml:space="preserve">the </w:t>
      </w:r>
      <w:r w:rsidR="00B14C3D">
        <w:rPr>
          <w:szCs w:val="22"/>
          <w:lang w:eastAsia="sv-SE"/>
        </w:rPr>
        <w:t>pre-emption</w:t>
      </w:r>
      <w:r>
        <w:rPr>
          <w:szCs w:val="22"/>
          <w:lang w:eastAsia="sv-SE"/>
        </w:rPr>
        <w:t xml:space="preserve"> indication </w:t>
      </w:r>
      <w:r w:rsidR="00565E04">
        <w:rPr>
          <w:szCs w:val="22"/>
          <w:lang w:eastAsia="sv-SE"/>
        </w:rPr>
        <w:t xml:space="preserve">has the same message size </w:t>
      </w:r>
      <w:r>
        <w:rPr>
          <w:szCs w:val="22"/>
          <w:lang w:eastAsia="sv-SE"/>
        </w:rPr>
        <w:t xml:space="preserve">as </w:t>
      </w:r>
      <w:r w:rsidR="00565E04">
        <w:rPr>
          <w:szCs w:val="22"/>
          <w:lang w:eastAsia="sv-SE"/>
        </w:rPr>
        <w:t xml:space="preserve">the </w:t>
      </w:r>
      <w:r>
        <w:rPr>
          <w:szCs w:val="22"/>
          <w:lang w:eastAsia="sv-SE"/>
        </w:rPr>
        <w:t xml:space="preserve">other </w:t>
      </w:r>
      <w:r w:rsidR="000207A8">
        <w:rPr>
          <w:szCs w:val="22"/>
          <w:lang w:eastAsia="sv-SE"/>
        </w:rPr>
        <w:t xml:space="preserve">group-common </w:t>
      </w:r>
      <w:r>
        <w:rPr>
          <w:szCs w:val="22"/>
          <w:lang w:eastAsia="sv-SE"/>
        </w:rPr>
        <w:t xml:space="preserve">DCIs transmitted on the common </w:t>
      </w:r>
      <w:r w:rsidR="000207A8">
        <w:rPr>
          <w:szCs w:val="22"/>
          <w:lang w:eastAsia="sv-SE"/>
        </w:rPr>
        <w:t>search space</w:t>
      </w:r>
      <w:r>
        <w:rPr>
          <w:szCs w:val="22"/>
          <w:lang w:eastAsia="sv-SE"/>
        </w:rPr>
        <w:t xml:space="preserve"> (e.g., paging, system information, etc.)</w:t>
      </w:r>
      <w:r w:rsidR="00565E04">
        <w:rPr>
          <w:szCs w:val="22"/>
          <w:lang w:eastAsia="sv-SE"/>
        </w:rPr>
        <w:t xml:space="preserve">. However, by transmitting </w:t>
      </w:r>
      <w:r w:rsidR="00565E04" w:rsidRPr="00565E04">
        <w:rPr>
          <w:szCs w:val="22"/>
          <w:lang w:eastAsia="sv-SE"/>
        </w:rPr>
        <w:t>the pre-emption indi</w:t>
      </w:r>
      <w:r w:rsidR="000207A8">
        <w:rPr>
          <w:szCs w:val="22"/>
          <w:lang w:eastAsia="sv-SE"/>
        </w:rPr>
        <w:t>cation on the group-common DCI</w:t>
      </w:r>
      <w:r w:rsidR="00565E04">
        <w:rPr>
          <w:szCs w:val="22"/>
          <w:lang w:eastAsia="sv-SE"/>
        </w:rPr>
        <w:t>,</w:t>
      </w:r>
      <w:r w:rsidR="00565E04" w:rsidRPr="00565E04">
        <w:rPr>
          <w:szCs w:val="22"/>
          <w:lang w:eastAsia="sv-SE"/>
        </w:rPr>
        <w:t xml:space="preserve"> </w:t>
      </w:r>
      <w:r w:rsidR="00565E04">
        <w:rPr>
          <w:szCs w:val="22"/>
          <w:lang w:eastAsia="sv-SE"/>
        </w:rPr>
        <w:t xml:space="preserve">there could be some potential impacts on the search space design which we have discussed more in details in </w:t>
      </w:r>
      <w:r w:rsidR="000207A8">
        <w:rPr>
          <w:szCs w:val="22"/>
          <w:lang w:eastAsia="sv-SE"/>
        </w:rPr>
        <w:t xml:space="preserve">one of </w:t>
      </w:r>
      <w:r w:rsidR="00565E04">
        <w:rPr>
          <w:szCs w:val="22"/>
          <w:lang w:eastAsia="sv-SE"/>
        </w:rPr>
        <w:t>our contribution</w:t>
      </w:r>
      <w:r w:rsidR="000207A8">
        <w:rPr>
          <w:szCs w:val="22"/>
          <w:lang w:eastAsia="sv-SE"/>
        </w:rPr>
        <w:t xml:space="preserve">s </w:t>
      </w:r>
      <w:r w:rsidR="000207A8">
        <w:rPr>
          <w:szCs w:val="22"/>
          <w:lang w:eastAsia="sv-SE"/>
        </w:rPr>
        <w:fldChar w:fldCharType="begin"/>
      </w:r>
      <w:r w:rsidR="000207A8">
        <w:rPr>
          <w:szCs w:val="22"/>
          <w:lang w:eastAsia="sv-SE"/>
        </w:rPr>
        <w:instrText xml:space="preserve"> REF _Ref489859498 \r \h </w:instrText>
      </w:r>
      <w:r w:rsidR="000207A8">
        <w:rPr>
          <w:szCs w:val="22"/>
          <w:lang w:eastAsia="sv-SE"/>
        </w:rPr>
      </w:r>
      <w:r w:rsidR="000207A8">
        <w:rPr>
          <w:szCs w:val="22"/>
          <w:lang w:eastAsia="sv-SE"/>
        </w:rPr>
        <w:fldChar w:fldCharType="separate"/>
      </w:r>
      <w:r w:rsidR="000207A8">
        <w:rPr>
          <w:szCs w:val="22"/>
          <w:lang w:eastAsia="sv-SE"/>
        </w:rPr>
        <w:t>[3]</w:t>
      </w:r>
      <w:r w:rsidR="000207A8">
        <w:rPr>
          <w:szCs w:val="22"/>
          <w:lang w:eastAsia="sv-SE"/>
        </w:rPr>
        <w:fldChar w:fldCharType="end"/>
      </w:r>
      <w:r w:rsidR="00565E04">
        <w:rPr>
          <w:szCs w:val="22"/>
          <w:lang w:eastAsia="sv-SE"/>
        </w:rPr>
        <w:t>.</w:t>
      </w:r>
    </w:p>
    <w:p w14:paraId="7E3E4455" w14:textId="0E5244C4" w:rsidR="00481955" w:rsidRDefault="00565E04" w:rsidP="00481955">
      <w:pPr>
        <w:spacing w:before="240"/>
        <w:rPr>
          <w:szCs w:val="22"/>
          <w:lang w:eastAsia="sv-SE"/>
        </w:rPr>
      </w:pPr>
      <w:r w:rsidRPr="00AA3833">
        <w:rPr>
          <w:b/>
          <w:i/>
          <w:szCs w:val="22"/>
          <w:u w:val="single"/>
          <w:lang w:eastAsia="sv-SE"/>
        </w:rPr>
        <w:t xml:space="preserve">Proposal </w:t>
      </w:r>
      <w:r w:rsidR="000E240A">
        <w:rPr>
          <w:b/>
          <w:i/>
          <w:szCs w:val="22"/>
          <w:u w:val="single"/>
          <w:lang w:eastAsia="sv-SE"/>
        </w:rPr>
        <w:t>5</w:t>
      </w:r>
      <w:r w:rsidRPr="00AA3833">
        <w:rPr>
          <w:b/>
          <w:i/>
          <w:szCs w:val="22"/>
          <w:u w:val="single"/>
          <w:lang w:eastAsia="sv-SE"/>
        </w:rPr>
        <w:t>:</w:t>
      </w:r>
      <w:r w:rsidRPr="00AA3833">
        <w:rPr>
          <w:b/>
          <w:szCs w:val="22"/>
          <w:lang w:eastAsia="sv-SE"/>
        </w:rPr>
        <w:t xml:space="preserve"> </w:t>
      </w:r>
      <w:r>
        <w:rPr>
          <w:i/>
          <w:szCs w:val="22"/>
          <w:lang w:eastAsia="sv-SE"/>
        </w:rPr>
        <w:t>The</w:t>
      </w:r>
      <w:r w:rsidR="000E240A">
        <w:rPr>
          <w:i/>
          <w:szCs w:val="22"/>
          <w:lang w:eastAsia="sv-SE"/>
        </w:rPr>
        <w:t xml:space="preserve"> </w:t>
      </w:r>
      <w:r w:rsidR="00B15DA7">
        <w:rPr>
          <w:i/>
          <w:szCs w:val="22"/>
          <w:lang w:eastAsia="sv-SE"/>
        </w:rPr>
        <w:t>group</w:t>
      </w:r>
      <w:r w:rsidR="000E240A">
        <w:rPr>
          <w:i/>
          <w:szCs w:val="22"/>
          <w:lang w:eastAsia="sv-SE"/>
        </w:rPr>
        <w:t xml:space="preserve"> common DCI carrying</w:t>
      </w:r>
      <w:r>
        <w:rPr>
          <w:i/>
          <w:szCs w:val="22"/>
          <w:lang w:eastAsia="sv-SE"/>
        </w:rPr>
        <w:t xml:space="preserve"> pre-emption indication should be transmitted</w:t>
      </w:r>
      <w:r w:rsidRPr="00565E04">
        <w:rPr>
          <w:i/>
          <w:szCs w:val="22"/>
          <w:lang w:eastAsia="sv-SE"/>
        </w:rPr>
        <w:t xml:space="preserve"> at the beginning of the next slot</w:t>
      </w:r>
      <w:r>
        <w:rPr>
          <w:i/>
          <w:szCs w:val="22"/>
          <w:lang w:eastAsia="sv-SE"/>
        </w:rPr>
        <w:t>.</w:t>
      </w:r>
      <w:r w:rsidR="00481955" w:rsidRPr="00481955">
        <w:rPr>
          <w:szCs w:val="22"/>
          <w:lang w:eastAsia="sv-SE"/>
        </w:rPr>
        <w:t xml:space="preserve"> </w:t>
      </w:r>
    </w:p>
    <w:p w14:paraId="0E28247C" w14:textId="57D9C61A" w:rsidR="00565E04" w:rsidRPr="009F5ABE" w:rsidRDefault="00565E04" w:rsidP="006274A6">
      <w:pPr>
        <w:rPr>
          <w:szCs w:val="22"/>
          <w:lang w:eastAsia="sv-SE"/>
        </w:rPr>
      </w:pPr>
    </w:p>
    <w:p w14:paraId="596E93DF" w14:textId="0878C489" w:rsidR="00821C42" w:rsidRPr="00C740A9" w:rsidRDefault="00402921" w:rsidP="00821C42">
      <w:pPr>
        <w:pStyle w:val="Heading1"/>
        <w:pBdr>
          <w:top w:val="single" w:sz="12" w:space="5" w:color="auto"/>
        </w:pBdr>
        <w:spacing w:after="120"/>
        <w:rPr>
          <w:rFonts w:ascii="Times New Roman" w:hAnsi="Times New Roman"/>
          <w:b/>
          <w:sz w:val="32"/>
          <w:lang w:val="en-US"/>
        </w:rPr>
      </w:pPr>
      <w:r>
        <w:rPr>
          <w:rFonts w:ascii="Times New Roman" w:hAnsi="Times New Roman"/>
          <w:b/>
          <w:sz w:val="32"/>
          <w:lang w:val="en-US"/>
        </w:rPr>
        <w:lastRenderedPageBreak/>
        <w:t>Conclusion</w:t>
      </w:r>
    </w:p>
    <w:p w14:paraId="3C0726F1" w14:textId="6ED7DDC4" w:rsidR="00402921" w:rsidRDefault="00402921" w:rsidP="00402921">
      <w:pPr>
        <w:spacing w:after="0"/>
        <w:rPr>
          <w:szCs w:val="22"/>
        </w:rPr>
      </w:pPr>
      <w:r>
        <w:rPr>
          <w:szCs w:val="22"/>
        </w:rPr>
        <w:t xml:space="preserve">In </w:t>
      </w:r>
      <w:r w:rsidRPr="00402921">
        <w:rPr>
          <w:szCs w:val="22"/>
        </w:rPr>
        <w:t>this contribution, we discuss</w:t>
      </w:r>
      <w:r>
        <w:rPr>
          <w:szCs w:val="22"/>
        </w:rPr>
        <w:t>ed</w:t>
      </w:r>
      <w:r w:rsidRPr="00402921">
        <w:rPr>
          <w:szCs w:val="22"/>
        </w:rPr>
        <w:t xml:space="preserve"> our views on </w:t>
      </w:r>
      <w:r w:rsidR="002A74AB">
        <w:rPr>
          <w:szCs w:val="22"/>
        </w:rPr>
        <w:t xml:space="preserve">the remaining details </w:t>
      </w:r>
      <w:r w:rsidR="008B619D">
        <w:rPr>
          <w:szCs w:val="22"/>
        </w:rPr>
        <w:t xml:space="preserve">of </w:t>
      </w:r>
      <w:r w:rsidR="0096411D">
        <w:rPr>
          <w:szCs w:val="22"/>
        </w:rPr>
        <w:t>pre-emption indication</w:t>
      </w:r>
      <w:r w:rsidR="008B619D">
        <w:rPr>
          <w:szCs w:val="22"/>
        </w:rPr>
        <w:t xml:space="preserve"> for DL</w:t>
      </w:r>
      <w:r>
        <w:rPr>
          <w:szCs w:val="22"/>
        </w:rPr>
        <w:t>. We made the following proposals:</w:t>
      </w:r>
    </w:p>
    <w:p w14:paraId="5E7B0EA0" w14:textId="77777777" w:rsidR="00402921" w:rsidRDefault="00402921" w:rsidP="00402921">
      <w:pPr>
        <w:spacing w:after="0"/>
        <w:rPr>
          <w:b/>
          <w:i/>
          <w:szCs w:val="22"/>
          <w:u w:val="single"/>
          <w:lang w:eastAsia="sv-SE"/>
        </w:rPr>
      </w:pPr>
    </w:p>
    <w:p w14:paraId="3F2EF366" w14:textId="5284A766" w:rsidR="00502151" w:rsidRPr="00894A3E" w:rsidRDefault="00502151" w:rsidP="00502151">
      <w:pPr>
        <w:spacing w:after="0"/>
        <w:rPr>
          <w:i/>
          <w:szCs w:val="22"/>
          <w:lang w:eastAsia="sv-SE"/>
        </w:rPr>
      </w:pPr>
      <w:r w:rsidRPr="00AA3833">
        <w:rPr>
          <w:b/>
          <w:i/>
          <w:szCs w:val="22"/>
          <w:u w:val="single"/>
          <w:lang w:eastAsia="sv-SE"/>
        </w:rPr>
        <w:t>Proposal 1:</w:t>
      </w:r>
      <w:r w:rsidRPr="00AA3833">
        <w:rPr>
          <w:b/>
          <w:szCs w:val="22"/>
          <w:lang w:eastAsia="sv-SE"/>
        </w:rPr>
        <w:t xml:space="preserve"> </w:t>
      </w:r>
      <w:r>
        <w:rPr>
          <w:i/>
          <w:szCs w:val="22"/>
          <w:lang w:eastAsia="sv-SE"/>
        </w:rPr>
        <w:t xml:space="preserve">The group-common DCI which carries the </w:t>
      </w:r>
      <w:r w:rsidR="00B14C3D">
        <w:rPr>
          <w:i/>
          <w:szCs w:val="22"/>
          <w:lang w:eastAsia="sv-SE"/>
        </w:rPr>
        <w:t>pre-emption</w:t>
      </w:r>
      <w:r>
        <w:rPr>
          <w:i/>
          <w:szCs w:val="22"/>
          <w:lang w:eastAsia="sv-SE"/>
        </w:rPr>
        <w:t xml:space="preserve"> indication is transmitted separately from SFI</w:t>
      </w:r>
      <w:r w:rsidRPr="00894A3E">
        <w:rPr>
          <w:i/>
          <w:szCs w:val="22"/>
          <w:lang w:eastAsia="sv-SE"/>
        </w:rPr>
        <w:t>.</w:t>
      </w:r>
    </w:p>
    <w:p w14:paraId="1E1A22AA" w14:textId="75E264F8" w:rsidR="00502151" w:rsidRPr="00894A3E" w:rsidRDefault="00502151" w:rsidP="00502151">
      <w:pPr>
        <w:spacing w:before="240" w:after="0"/>
        <w:rPr>
          <w:i/>
          <w:szCs w:val="22"/>
          <w:lang w:eastAsia="sv-SE"/>
        </w:rPr>
      </w:pPr>
      <w:r w:rsidRPr="00AA3833">
        <w:rPr>
          <w:b/>
          <w:i/>
          <w:szCs w:val="22"/>
          <w:u w:val="single"/>
          <w:lang w:eastAsia="sv-SE"/>
        </w:rPr>
        <w:t xml:space="preserve">Proposal </w:t>
      </w:r>
      <w:r>
        <w:rPr>
          <w:b/>
          <w:i/>
          <w:szCs w:val="22"/>
          <w:u w:val="single"/>
          <w:lang w:eastAsia="sv-SE"/>
        </w:rPr>
        <w:t>2</w:t>
      </w:r>
      <w:r w:rsidRPr="00AA3833">
        <w:rPr>
          <w:b/>
          <w:i/>
          <w:szCs w:val="22"/>
          <w:u w:val="single"/>
          <w:lang w:eastAsia="sv-SE"/>
        </w:rPr>
        <w:t>:</w:t>
      </w:r>
      <w:r w:rsidRPr="00AA3833">
        <w:rPr>
          <w:b/>
          <w:szCs w:val="22"/>
          <w:lang w:eastAsia="sv-SE"/>
        </w:rPr>
        <w:t xml:space="preserve"> </w:t>
      </w:r>
      <w:r>
        <w:rPr>
          <w:i/>
          <w:szCs w:val="22"/>
          <w:lang w:eastAsia="sv-SE"/>
        </w:rPr>
        <w:t>Define a pre-emption indication identity (e.g., PI-RNTI), which is implicitly encoded in the CRC, for identification of th</w:t>
      </w:r>
      <w:r w:rsidR="00B14C3D">
        <w:rPr>
          <w:i/>
          <w:szCs w:val="22"/>
          <w:lang w:eastAsia="sv-SE"/>
        </w:rPr>
        <w:t>e group common DCI carrying pre-emption</w:t>
      </w:r>
      <w:r>
        <w:rPr>
          <w:i/>
          <w:szCs w:val="22"/>
          <w:lang w:eastAsia="sv-SE"/>
        </w:rPr>
        <w:t xml:space="preserve"> indication. </w:t>
      </w:r>
    </w:p>
    <w:p w14:paraId="5E7F9476" w14:textId="3CFC9D1D" w:rsidR="00502151" w:rsidRDefault="00502151" w:rsidP="00502151">
      <w:pPr>
        <w:spacing w:before="240"/>
        <w:rPr>
          <w:color w:val="231F20"/>
          <w:szCs w:val="22"/>
          <w:lang w:val="en-US" w:eastAsia="en-US"/>
        </w:rPr>
      </w:pPr>
      <w:r w:rsidRPr="00AA3833">
        <w:rPr>
          <w:b/>
          <w:i/>
          <w:szCs w:val="22"/>
          <w:u w:val="single"/>
          <w:lang w:eastAsia="sv-SE"/>
        </w:rPr>
        <w:t xml:space="preserve">Proposal </w:t>
      </w:r>
      <w:r>
        <w:rPr>
          <w:b/>
          <w:i/>
          <w:szCs w:val="22"/>
          <w:u w:val="single"/>
          <w:lang w:eastAsia="sv-SE"/>
        </w:rPr>
        <w:t>3</w:t>
      </w:r>
      <w:r w:rsidRPr="00AA3833">
        <w:rPr>
          <w:b/>
          <w:i/>
          <w:szCs w:val="22"/>
          <w:u w:val="single"/>
          <w:lang w:eastAsia="sv-SE"/>
        </w:rPr>
        <w:t>:</w:t>
      </w:r>
      <w:r w:rsidRPr="00AA3833">
        <w:rPr>
          <w:b/>
          <w:szCs w:val="22"/>
          <w:lang w:eastAsia="sv-SE"/>
        </w:rPr>
        <w:t xml:space="preserve"> </w:t>
      </w:r>
      <w:r>
        <w:rPr>
          <w:i/>
          <w:szCs w:val="22"/>
          <w:lang w:eastAsia="sv-SE"/>
        </w:rPr>
        <w:t xml:space="preserve">The group common DCI message size carrying </w:t>
      </w:r>
      <w:r w:rsidR="00B14C3D">
        <w:rPr>
          <w:i/>
          <w:szCs w:val="22"/>
          <w:lang w:eastAsia="sv-SE"/>
        </w:rPr>
        <w:t>pre-emption</w:t>
      </w:r>
      <w:r>
        <w:rPr>
          <w:i/>
          <w:szCs w:val="22"/>
          <w:lang w:eastAsia="sv-SE"/>
        </w:rPr>
        <w:t xml:space="preserve"> indication should be matched to the size of other group common DCI messages.</w:t>
      </w:r>
    </w:p>
    <w:p w14:paraId="4DEA55BC" w14:textId="77777777" w:rsidR="00502151" w:rsidRDefault="00502151" w:rsidP="00502151">
      <w:pPr>
        <w:spacing w:before="240"/>
        <w:rPr>
          <w:i/>
          <w:szCs w:val="22"/>
          <w:lang w:eastAsia="sv-SE"/>
        </w:rPr>
      </w:pPr>
      <w:r w:rsidRPr="00AA3833">
        <w:rPr>
          <w:b/>
          <w:i/>
          <w:szCs w:val="22"/>
          <w:u w:val="single"/>
          <w:lang w:eastAsia="sv-SE"/>
        </w:rPr>
        <w:t xml:space="preserve">Proposal </w:t>
      </w:r>
      <w:r>
        <w:rPr>
          <w:b/>
          <w:i/>
          <w:szCs w:val="22"/>
          <w:u w:val="single"/>
          <w:lang w:eastAsia="sv-SE"/>
        </w:rPr>
        <w:t>4</w:t>
      </w:r>
      <w:r w:rsidRPr="00AA3833">
        <w:rPr>
          <w:b/>
          <w:i/>
          <w:szCs w:val="22"/>
          <w:u w:val="single"/>
          <w:lang w:eastAsia="sv-SE"/>
        </w:rPr>
        <w:t>:</w:t>
      </w:r>
      <w:r w:rsidRPr="00AA3833">
        <w:rPr>
          <w:b/>
          <w:szCs w:val="22"/>
          <w:lang w:eastAsia="sv-SE"/>
        </w:rPr>
        <w:t xml:space="preserve"> </w:t>
      </w:r>
      <w:r w:rsidRPr="00E85FDD">
        <w:rPr>
          <w:i/>
          <w:szCs w:val="22"/>
          <w:lang w:eastAsia="sv-SE"/>
        </w:rPr>
        <w:t>For pre-emption indication</w:t>
      </w:r>
      <w:r>
        <w:rPr>
          <w:i/>
          <w:szCs w:val="22"/>
          <w:lang w:eastAsia="sv-SE"/>
        </w:rPr>
        <w:t>,</w:t>
      </w:r>
      <w:r w:rsidRPr="00E85FDD">
        <w:rPr>
          <w:i/>
          <w:szCs w:val="22"/>
          <w:lang w:eastAsia="sv-SE"/>
        </w:rPr>
        <w:t xml:space="preserve"> </w:t>
      </w:r>
      <w:r>
        <w:rPr>
          <w:i/>
          <w:szCs w:val="22"/>
          <w:lang w:eastAsia="sv-SE"/>
        </w:rPr>
        <w:t>the granularity of the frequency resources should be at the PRB-level and the granularity of the time resources should be at the OFDM-symbol level</w:t>
      </w:r>
      <w:r w:rsidRPr="00894A3E">
        <w:rPr>
          <w:i/>
          <w:szCs w:val="22"/>
          <w:lang w:eastAsia="sv-SE"/>
        </w:rPr>
        <w:t>.</w:t>
      </w:r>
    </w:p>
    <w:p w14:paraId="1E1A8945" w14:textId="0193D43C" w:rsidR="00502151" w:rsidRDefault="00502151" w:rsidP="00502151">
      <w:pPr>
        <w:spacing w:before="240"/>
        <w:rPr>
          <w:szCs w:val="22"/>
          <w:lang w:eastAsia="sv-SE"/>
        </w:rPr>
      </w:pPr>
      <w:r w:rsidRPr="00AA3833">
        <w:rPr>
          <w:b/>
          <w:i/>
          <w:szCs w:val="22"/>
          <w:u w:val="single"/>
          <w:lang w:eastAsia="sv-SE"/>
        </w:rPr>
        <w:t xml:space="preserve">Proposal </w:t>
      </w:r>
      <w:r>
        <w:rPr>
          <w:b/>
          <w:i/>
          <w:szCs w:val="22"/>
          <w:u w:val="single"/>
          <w:lang w:eastAsia="sv-SE"/>
        </w:rPr>
        <w:t>5</w:t>
      </w:r>
      <w:r w:rsidRPr="00AA3833">
        <w:rPr>
          <w:b/>
          <w:i/>
          <w:szCs w:val="22"/>
          <w:u w:val="single"/>
          <w:lang w:eastAsia="sv-SE"/>
        </w:rPr>
        <w:t>:</w:t>
      </w:r>
      <w:r w:rsidRPr="00AA3833">
        <w:rPr>
          <w:b/>
          <w:szCs w:val="22"/>
          <w:lang w:eastAsia="sv-SE"/>
        </w:rPr>
        <w:t xml:space="preserve"> </w:t>
      </w:r>
      <w:r>
        <w:rPr>
          <w:i/>
          <w:szCs w:val="22"/>
          <w:lang w:eastAsia="sv-SE"/>
        </w:rPr>
        <w:t xml:space="preserve">The </w:t>
      </w:r>
      <w:r w:rsidR="00B15DA7">
        <w:rPr>
          <w:i/>
          <w:szCs w:val="22"/>
          <w:lang w:eastAsia="sv-SE"/>
        </w:rPr>
        <w:t>group</w:t>
      </w:r>
      <w:r w:rsidR="008D6EB3">
        <w:rPr>
          <w:i/>
          <w:szCs w:val="22"/>
          <w:lang w:eastAsia="sv-SE"/>
        </w:rPr>
        <w:t xml:space="preserve"> common DCI carrying </w:t>
      </w:r>
      <w:r w:rsidR="00B14C3D">
        <w:rPr>
          <w:i/>
          <w:szCs w:val="22"/>
          <w:lang w:eastAsia="sv-SE"/>
        </w:rPr>
        <w:t>pre-emption</w:t>
      </w:r>
      <w:r>
        <w:rPr>
          <w:i/>
          <w:szCs w:val="22"/>
          <w:lang w:eastAsia="sv-SE"/>
        </w:rPr>
        <w:t xml:space="preserve"> indication should be transmitted</w:t>
      </w:r>
      <w:r w:rsidRPr="00565E04">
        <w:rPr>
          <w:i/>
          <w:szCs w:val="22"/>
          <w:lang w:eastAsia="sv-SE"/>
        </w:rPr>
        <w:t xml:space="preserve"> at the beginning of the next slot</w:t>
      </w:r>
      <w:r>
        <w:rPr>
          <w:i/>
          <w:szCs w:val="22"/>
          <w:lang w:eastAsia="sv-SE"/>
        </w:rPr>
        <w:t>.</w:t>
      </w:r>
      <w:r w:rsidRPr="00481955">
        <w:rPr>
          <w:szCs w:val="22"/>
          <w:lang w:eastAsia="sv-SE"/>
        </w:rPr>
        <w:t xml:space="preserve"> </w:t>
      </w:r>
    </w:p>
    <w:p w14:paraId="0EF7466D" w14:textId="77777777" w:rsidR="00251B4A" w:rsidRPr="00C740A9" w:rsidRDefault="00251B4A" w:rsidP="00251B4A">
      <w:pPr>
        <w:pStyle w:val="Heading1"/>
        <w:rPr>
          <w:rFonts w:ascii="Times New Roman" w:hAnsi="Times New Roman"/>
          <w:b/>
          <w:sz w:val="32"/>
          <w:lang w:val="en-US"/>
        </w:rPr>
      </w:pPr>
      <w:r w:rsidRPr="00C740A9">
        <w:rPr>
          <w:rFonts w:ascii="Times New Roman" w:hAnsi="Times New Roman"/>
          <w:b/>
          <w:sz w:val="32"/>
          <w:lang w:val="en-US"/>
        </w:rPr>
        <w:t>References</w:t>
      </w:r>
    </w:p>
    <w:p w14:paraId="42BDC542" w14:textId="48804870" w:rsidR="00AC1F56" w:rsidRDefault="00AC1F56" w:rsidP="004D0C00">
      <w:pPr>
        <w:pStyle w:val="Reference"/>
      </w:pPr>
      <w:bookmarkStart w:id="1" w:name="_Ref455734493"/>
      <w:bookmarkStart w:id="2" w:name="_Ref434502751"/>
      <w:bookmarkStart w:id="3" w:name="_Ref419296613"/>
      <w:bookmarkStart w:id="4" w:name="_Ref434227915"/>
      <w:bookmarkStart w:id="5" w:name="_Ref434501473"/>
      <w:r w:rsidRPr="00AA3833">
        <w:t xml:space="preserve">RAN1 </w:t>
      </w:r>
      <w:r>
        <w:t>NR Ad-Hoc#2</w:t>
      </w:r>
      <w:r w:rsidRPr="00AC1F56">
        <w:rPr>
          <w:szCs w:val="22"/>
        </w:rPr>
        <w:t xml:space="preserve"> </w:t>
      </w:r>
      <w:r w:rsidRPr="00AA3833">
        <w:t>Chairman’s Notes</w:t>
      </w:r>
      <w:r>
        <w:t>, Qingdao, P.R. China, 27th – 30th June 2017</w:t>
      </w:r>
    </w:p>
    <w:p w14:paraId="1CA3A936" w14:textId="63524E76" w:rsidR="00E246F8" w:rsidRDefault="008E6321" w:rsidP="00C740A9">
      <w:pPr>
        <w:pStyle w:val="Reference"/>
      </w:pPr>
      <w:bookmarkStart w:id="6" w:name="_Ref489856619"/>
      <w:r w:rsidRPr="00AA3833">
        <w:t>RAN1</w:t>
      </w:r>
      <w:r w:rsidR="00265D68">
        <w:t>#</w:t>
      </w:r>
      <w:r w:rsidR="00C740A9" w:rsidRPr="00C740A9">
        <w:rPr>
          <w:szCs w:val="22"/>
        </w:rPr>
        <w:t>89</w:t>
      </w:r>
      <w:r w:rsidR="009C1D45" w:rsidRPr="00C740A9">
        <w:rPr>
          <w:szCs w:val="22"/>
        </w:rPr>
        <w:t xml:space="preserve"> </w:t>
      </w:r>
      <w:r w:rsidR="005266DD" w:rsidRPr="00AA3833">
        <w:t>Chairman’s Note</w:t>
      </w:r>
      <w:bookmarkEnd w:id="1"/>
      <w:r w:rsidR="005266DD" w:rsidRPr="00AA3833">
        <w:t>s</w:t>
      </w:r>
      <w:bookmarkEnd w:id="2"/>
      <w:bookmarkEnd w:id="3"/>
      <w:bookmarkEnd w:id="4"/>
      <w:bookmarkEnd w:id="5"/>
      <w:r w:rsidR="009C1D45" w:rsidRPr="00AA3833">
        <w:t xml:space="preserve">, </w:t>
      </w:r>
      <w:r w:rsidR="00C740A9" w:rsidRPr="00C740A9">
        <w:t>Hangzhou, P.R. China 15th – 19th May 2017</w:t>
      </w:r>
      <w:bookmarkEnd w:id="6"/>
    </w:p>
    <w:p w14:paraId="6CA7E9D7" w14:textId="5BC4755F" w:rsidR="005C4C86" w:rsidRPr="00AA3833" w:rsidRDefault="005C4C86" w:rsidP="00FA1336">
      <w:pPr>
        <w:pStyle w:val="Reference"/>
      </w:pPr>
      <w:bookmarkStart w:id="7" w:name="_Ref489859498"/>
      <w:r>
        <w:t>R1-</w:t>
      </w:r>
      <w:r w:rsidR="008E49D0">
        <w:t>1710946</w:t>
      </w:r>
      <w:r>
        <w:t xml:space="preserve"> “</w:t>
      </w:r>
      <w:r w:rsidRPr="005C4C86">
        <w:t>Search Space Design for eMBB/URLLC Multiplexing</w:t>
      </w:r>
      <w:r>
        <w:t xml:space="preserve">”, InterDigital, </w:t>
      </w:r>
      <w:r w:rsidR="00FA1336" w:rsidRPr="00FA1336">
        <w:t>NR Ad-Hoc#2</w:t>
      </w:r>
      <w:r w:rsidR="00FA1336">
        <w:t xml:space="preserve">, </w:t>
      </w:r>
      <w:r w:rsidRPr="005C4C86">
        <w:t>Qingdao, P.R. China 27th – 30th June 2017</w:t>
      </w:r>
      <w:bookmarkEnd w:id="7"/>
      <w:r>
        <w:t xml:space="preserve"> </w:t>
      </w:r>
    </w:p>
    <w:sectPr w:rsidR="005C4C86" w:rsidRPr="00AA3833" w:rsidSect="00D55085">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EE323A" w14:textId="77777777" w:rsidR="00512D74" w:rsidRDefault="00512D74">
      <w:r>
        <w:separator/>
      </w:r>
    </w:p>
  </w:endnote>
  <w:endnote w:type="continuationSeparator" w:id="0">
    <w:p w14:paraId="6CF3B672" w14:textId="77777777" w:rsidR="00512D74" w:rsidRDefault="00512D74">
      <w:r>
        <w:continuationSeparator/>
      </w:r>
    </w:p>
  </w:endnote>
  <w:endnote w:type="continuationNotice" w:id="1">
    <w:p w14:paraId="2C36252F" w14:textId="77777777" w:rsidR="00512D74" w:rsidRDefault="00512D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F5901A" w14:textId="77777777" w:rsidR="00BE58EA" w:rsidRDefault="00BE58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771788EE" w:rsidR="00916FCC" w:rsidRDefault="00916FC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E58EA">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E58EA">
      <w:rPr>
        <w:rStyle w:val="PageNumber"/>
      </w:rPr>
      <w:t>3</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F497F4" w14:textId="77777777" w:rsidR="00BE58EA" w:rsidRDefault="00BE58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78F868" w14:textId="77777777" w:rsidR="00512D74" w:rsidRDefault="00512D74">
      <w:r>
        <w:separator/>
      </w:r>
    </w:p>
  </w:footnote>
  <w:footnote w:type="continuationSeparator" w:id="0">
    <w:p w14:paraId="307828E2" w14:textId="77777777" w:rsidR="00512D74" w:rsidRDefault="00512D74">
      <w:r>
        <w:continuationSeparator/>
      </w:r>
    </w:p>
  </w:footnote>
  <w:footnote w:type="continuationNotice" w:id="1">
    <w:p w14:paraId="02981BBE" w14:textId="77777777" w:rsidR="00512D74" w:rsidRDefault="00512D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C554C" w14:textId="74CF5234" w:rsidR="00916FCC" w:rsidRDefault="00916FC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B2A725" w14:textId="77777777" w:rsidR="00BE58EA" w:rsidRDefault="00BE58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395631" w14:textId="77777777" w:rsidR="00BE58EA" w:rsidRDefault="00BE58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743A23"/>
    <w:multiLevelType w:val="hybridMultilevel"/>
    <w:tmpl w:val="0D84CA12"/>
    <w:lvl w:ilvl="0" w:tplc="BF6AF19E">
      <w:start w:val="1"/>
      <w:numFmt w:val="bullet"/>
      <w:lvlText w:val="•"/>
      <w:lvlJc w:val="left"/>
      <w:pPr>
        <w:tabs>
          <w:tab w:val="num" w:pos="720"/>
        </w:tabs>
        <w:ind w:left="720" w:hanging="360"/>
      </w:pPr>
      <w:rPr>
        <w:rFonts w:ascii="Arial" w:hAnsi="Arial" w:hint="default"/>
      </w:rPr>
    </w:lvl>
    <w:lvl w:ilvl="1" w:tplc="D0DC3D70">
      <w:start w:val="556"/>
      <w:numFmt w:val="bullet"/>
      <w:lvlText w:val="–"/>
      <w:lvlJc w:val="left"/>
      <w:pPr>
        <w:tabs>
          <w:tab w:val="num" w:pos="1440"/>
        </w:tabs>
        <w:ind w:left="1440" w:hanging="360"/>
      </w:pPr>
      <w:rPr>
        <w:rFonts w:ascii="Arial" w:hAnsi="Arial" w:hint="default"/>
      </w:rPr>
    </w:lvl>
    <w:lvl w:ilvl="2" w:tplc="66BE052A" w:tentative="1">
      <w:start w:val="1"/>
      <w:numFmt w:val="bullet"/>
      <w:lvlText w:val="•"/>
      <w:lvlJc w:val="left"/>
      <w:pPr>
        <w:tabs>
          <w:tab w:val="num" w:pos="2160"/>
        </w:tabs>
        <w:ind w:left="2160" w:hanging="360"/>
      </w:pPr>
      <w:rPr>
        <w:rFonts w:ascii="Arial" w:hAnsi="Arial" w:hint="default"/>
      </w:rPr>
    </w:lvl>
    <w:lvl w:ilvl="3" w:tplc="7C52D9D6" w:tentative="1">
      <w:start w:val="1"/>
      <w:numFmt w:val="bullet"/>
      <w:lvlText w:val="•"/>
      <w:lvlJc w:val="left"/>
      <w:pPr>
        <w:tabs>
          <w:tab w:val="num" w:pos="2880"/>
        </w:tabs>
        <w:ind w:left="2880" w:hanging="360"/>
      </w:pPr>
      <w:rPr>
        <w:rFonts w:ascii="Arial" w:hAnsi="Arial" w:hint="default"/>
      </w:rPr>
    </w:lvl>
    <w:lvl w:ilvl="4" w:tplc="62EC9702" w:tentative="1">
      <w:start w:val="1"/>
      <w:numFmt w:val="bullet"/>
      <w:lvlText w:val="•"/>
      <w:lvlJc w:val="left"/>
      <w:pPr>
        <w:tabs>
          <w:tab w:val="num" w:pos="3600"/>
        </w:tabs>
        <w:ind w:left="3600" w:hanging="360"/>
      </w:pPr>
      <w:rPr>
        <w:rFonts w:ascii="Arial" w:hAnsi="Arial" w:hint="default"/>
      </w:rPr>
    </w:lvl>
    <w:lvl w:ilvl="5" w:tplc="9CACFCFA" w:tentative="1">
      <w:start w:val="1"/>
      <w:numFmt w:val="bullet"/>
      <w:lvlText w:val="•"/>
      <w:lvlJc w:val="left"/>
      <w:pPr>
        <w:tabs>
          <w:tab w:val="num" w:pos="4320"/>
        </w:tabs>
        <w:ind w:left="4320" w:hanging="360"/>
      </w:pPr>
      <w:rPr>
        <w:rFonts w:ascii="Arial" w:hAnsi="Arial" w:hint="default"/>
      </w:rPr>
    </w:lvl>
    <w:lvl w:ilvl="6" w:tplc="BA086E9E" w:tentative="1">
      <w:start w:val="1"/>
      <w:numFmt w:val="bullet"/>
      <w:lvlText w:val="•"/>
      <w:lvlJc w:val="left"/>
      <w:pPr>
        <w:tabs>
          <w:tab w:val="num" w:pos="5040"/>
        </w:tabs>
        <w:ind w:left="5040" w:hanging="360"/>
      </w:pPr>
      <w:rPr>
        <w:rFonts w:ascii="Arial" w:hAnsi="Arial" w:hint="default"/>
      </w:rPr>
    </w:lvl>
    <w:lvl w:ilvl="7" w:tplc="19D440FC" w:tentative="1">
      <w:start w:val="1"/>
      <w:numFmt w:val="bullet"/>
      <w:lvlText w:val="•"/>
      <w:lvlJc w:val="left"/>
      <w:pPr>
        <w:tabs>
          <w:tab w:val="num" w:pos="5760"/>
        </w:tabs>
        <w:ind w:left="5760" w:hanging="360"/>
      </w:pPr>
      <w:rPr>
        <w:rFonts w:ascii="Arial" w:hAnsi="Arial" w:hint="default"/>
      </w:rPr>
    </w:lvl>
    <w:lvl w:ilvl="8" w:tplc="89AAD1D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497D0D20"/>
    <w:multiLevelType w:val="hybridMultilevel"/>
    <w:tmpl w:val="50D0B7E6"/>
    <w:lvl w:ilvl="0" w:tplc="79D8C9E6">
      <w:start w:val="1"/>
      <w:numFmt w:val="bullet"/>
      <w:lvlText w:val="•"/>
      <w:lvlJc w:val="left"/>
      <w:pPr>
        <w:tabs>
          <w:tab w:val="num" w:pos="720"/>
        </w:tabs>
        <w:ind w:left="720" w:hanging="360"/>
      </w:pPr>
      <w:rPr>
        <w:rFonts w:ascii="Arial" w:hAnsi="Arial" w:hint="default"/>
      </w:rPr>
    </w:lvl>
    <w:lvl w:ilvl="1" w:tplc="FF2A9AFA">
      <w:start w:val="3986"/>
      <w:numFmt w:val="bullet"/>
      <w:lvlText w:val="–"/>
      <w:lvlJc w:val="left"/>
      <w:pPr>
        <w:tabs>
          <w:tab w:val="num" w:pos="1440"/>
        </w:tabs>
        <w:ind w:left="1440" w:hanging="360"/>
      </w:pPr>
      <w:rPr>
        <w:rFonts w:ascii="Arial" w:hAnsi="Arial" w:hint="default"/>
      </w:rPr>
    </w:lvl>
    <w:lvl w:ilvl="2" w:tplc="0A1E8A00">
      <w:start w:val="3986"/>
      <w:numFmt w:val="bullet"/>
      <w:lvlText w:val="•"/>
      <w:lvlJc w:val="left"/>
      <w:pPr>
        <w:tabs>
          <w:tab w:val="num" w:pos="2160"/>
        </w:tabs>
        <w:ind w:left="2160" w:hanging="360"/>
      </w:pPr>
      <w:rPr>
        <w:rFonts w:ascii="Arial" w:hAnsi="Arial" w:hint="default"/>
      </w:rPr>
    </w:lvl>
    <w:lvl w:ilvl="3" w:tplc="981033EE">
      <w:start w:val="3986"/>
      <w:numFmt w:val="bullet"/>
      <w:lvlText w:val="–"/>
      <w:lvlJc w:val="left"/>
      <w:pPr>
        <w:tabs>
          <w:tab w:val="num" w:pos="2880"/>
        </w:tabs>
        <w:ind w:left="2880" w:hanging="360"/>
      </w:pPr>
      <w:rPr>
        <w:rFonts w:ascii="Arial" w:hAnsi="Arial" w:hint="default"/>
      </w:rPr>
    </w:lvl>
    <w:lvl w:ilvl="4" w:tplc="79261EDE" w:tentative="1">
      <w:start w:val="1"/>
      <w:numFmt w:val="bullet"/>
      <w:lvlText w:val="•"/>
      <w:lvlJc w:val="left"/>
      <w:pPr>
        <w:tabs>
          <w:tab w:val="num" w:pos="3600"/>
        </w:tabs>
        <w:ind w:left="3600" w:hanging="360"/>
      </w:pPr>
      <w:rPr>
        <w:rFonts w:ascii="Arial" w:hAnsi="Arial" w:hint="default"/>
      </w:rPr>
    </w:lvl>
    <w:lvl w:ilvl="5" w:tplc="6D4C62D2" w:tentative="1">
      <w:start w:val="1"/>
      <w:numFmt w:val="bullet"/>
      <w:lvlText w:val="•"/>
      <w:lvlJc w:val="left"/>
      <w:pPr>
        <w:tabs>
          <w:tab w:val="num" w:pos="4320"/>
        </w:tabs>
        <w:ind w:left="4320" w:hanging="360"/>
      </w:pPr>
      <w:rPr>
        <w:rFonts w:ascii="Arial" w:hAnsi="Arial" w:hint="default"/>
      </w:rPr>
    </w:lvl>
    <w:lvl w:ilvl="6" w:tplc="750CADF6" w:tentative="1">
      <w:start w:val="1"/>
      <w:numFmt w:val="bullet"/>
      <w:lvlText w:val="•"/>
      <w:lvlJc w:val="left"/>
      <w:pPr>
        <w:tabs>
          <w:tab w:val="num" w:pos="5040"/>
        </w:tabs>
        <w:ind w:left="5040" w:hanging="360"/>
      </w:pPr>
      <w:rPr>
        <w:rFonts w:ascii="Arial" w:hAnsi="Arial" w:hint="default"/>
      </w:rPr>
    </w:lvl>
    <w:lvl w:ilvl="7" w:tplc="688E81AC" w:tentative="1">
      <w:start w:val="1"/>
      <w:numFmt w:val="bullet"/>
      <w:lvlText w:val="•"/>
      <w:lvlJc w:val="left"/>
      <w:pPr>
        <w:tabs>
          <w:tab w:val="num" w:pos="5760"/>
        </w:tabs>
        <w:ind w:left="5760" w:hanging="360"/>
      </w:pPr>
      <w:rPr>
        <w:rFonts w:ascii="Arial" w:hAnsi="Arial" w:hint="default"/>
      </w:rPr>
    </w:lvl>
    <w:lvl w:ilvl="8" w:tplc="156AC8F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A8B0CA5"/>
    <w:multiLevelType w:val="hybridMultilevel"/>
    <w:tmpl w:val="77AC7454"/>
    <w:lvl w:ilvl="0" w:tplc="2ACC3F2E">
      <w:start w:val="1"/>
      <w:numFmt w:val="bullet"/>
      <w:lvlText w:val="•"/>
      <w:lvlJc w:val="left"/>
      <w:pPr>
        <w:tabs>
          <w:tab w:val="num" w:pos="720"/>
        </w:tabs>
        <w:ind w:left="720" w:hanging="360"/>
      </w:pPr>
      <w:rPr>
        <w:rFonts w:ascii="Arial" w:hAnsi="Arial" w:hint="default"/>
      </w:rPr>
    </w:lvl>
    <w:lvl w:ilvl="1" w:tplc="28B40FB2">
      <w:start w:val="858"/>
      <w:numFmt w:val="bullet"/>
      <w:lvlText w:val="•"/>
      <w:lvlJc w:val="left"/>
      <w:pPr>
        <w:tabs>
          <w:tab w:val="num" w:pos="1440"/>
        </w:tabs>
        <w:ind w:left="1440" w:hanging="360"/>
      </w:pPr>
      <w:rPr>
        <w:rFonts w:ascii="Arial" w:hAnsi="Arial" w:hint="default"/>
      </w:rPr>
    </w:lvl>
    <w:lvl w:ilvl="2" w:tplc="6BF648E0">
      <w:start w:val="858"/>
      <w:numFmt w:val="bullet"/>
      <w:lvlText w:val="•"/>
      <w:lvlJc w:val="left"/>
      <w:pPr>
        <w:tabs>
          <w:tab w:val="num" w:pos="2160"/>
        </w:tabs>
        <w:ind w:left="2160" w:hanging="360"/>
      </w:pPr>
      <w:rPr>
        <w:rFonts w:ascii="Arial" w:hAnsi="Arial" w:hint="default"/>
      </w:rPr>
    </w:lvl>
    <w:lvl w:ilvl="3" w:tplc="4EB4E280">
      <w:start w:val="858"/>
      <w:numFmt w:val="bullet"/>
      <w:lvlText w:val="•"/>
      <w:lvlJc w:val="left"/>
      <w:pPr>
        <w:tabs>
          <w:tab w:val="num" w:pos="2880"/>
        </w:tabs>
        <w:ind w:left="2880" w:hanging="360"/>
      </w:pPr>
      <w:rPr>
        <w:rFonts w:ascii="Arial" w:hAnsi="Arial" w:hint="default"/>
      </w:rPr>
    </w:lvl>
    <w:lvl w:ilvl="4" w:tplc="DD9E9FA8" w:tentative="1">
      <w:start w:val="1"/>
      <w:numFmt w:val="bullet"/>
      <w:lvlText w:val="•"/>
      <w:lvlJc w:val="left"/>
      <w:pPr>
        <w:tabs>
          <w:tab w:val="num" w:pos="3600"/>
        </w:tabs>
        <w:ind w:left="3600" w:hanging="360"/>
      </w:pPr>
      <w:rPr>
        <w:rFonts w:ascii="Arial" w:hAnsi="Arial" w:hint="default"/>
      </w:rPr>
    </w:lvl>
    <w:lvl w:ilvl="5" w:tplc="79ECED1E" w:tentative="1">
      <w:start w:val="1"/>
      <w:numFmt w:val="bullet"/>
      <w:lvlText w:val="•"/>
      <w:lvlJc w:val="left"/>
      <w:pPr>
        <w:tabs>
          <w:tab w:val="num" w:pos="4320"/>
        </w:tabs>
        <w:ind w:left="4320" w:hanging="360"/>
      </w:pPr>
      <w:rPr>
        <w:rFonts w:ascii="Arial" w:hAnsi="Arial" w:hint="default"/>
      </w:rPr>
    </w:lvl>
    <w:lvl w:ilvl="6" w:tplc="32484592" w:tentative="1">
      <w:start w:val="1"/>
      <w:numFmt w:val="bullet"/>
      <w:lvlText w:val="•"/>
      <w:lvlJc w:val="left"/>
      <w:pPr>
        <w:tabs>
          <w:tab w:val="num" w:pos="5040"/>
        </w:tabs>
        <w:ind w:left="5040" w:hanging="360"/>
      </w:pPr>
      <w:rPr>
        <w:rFonts w:ascii="Arial" w:hAnsi="Arial" w:hint="default"/>
      </w:rPr>
    </w:lvl>
    <w:lvl w:ilvl="7" w:tplc="7E46CD92" w:tentative="1">
      <w:start w:val="1"/>
      <w:numFmt w:val="bullet"/>
      <w:lvlText w:val="•"/>
      <w:lvlJc w:val="left"/>
      <w:pPr>
        <w:tabs>
          <w:tab w:val="num" w:pos="5760"/>
        </w:tabs>
        <w:ind w:left="5760" w:hanging="360"/>
      </w:pPr>
      <w:rPr>
        <w:rFonts w:ascii="Arial" w:hAnsi="Arial" w:hint="default"/>
      </w:rPr>
    </w:lvl>
    <w:lvl w:ilvl="8" w:tplc="1650492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20062D5"/>
    <w:multiLevelType w:val="hybridMultilevel"/>
    <w:tmpl w:val="BEB606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C645CF1"/>
    <w:multiLevelType w:val="hybridMultilevel"/>
    <w:tmpl w:val="A7724AF6"/>
    <w:lvl w:ilvl="0" w:tplc="449CA4D8">
      <w:start w:val="1"/>
      <w:numFmt w:val="bullet"/>
      <w:lvlText w:val="•"/>
      <w:lvlJc w:val="left"/>
      <w:pPr>
        <w:tabs>
          <w:tab w:val="num" w:pos="720"/>
        </w:tabs>
        <w:ind w:left="720" w:hanging="360"/>
      </w:pPr>
      <w:rPr>
        <w:rFonts w:ascii="Arial" w:hAnsi="Arial" w:hint="default"/>
      </w:rPr>
    </w:lvl>
    <w:lvl w:ilvl="1" w:tplc="7598DE9A">
      <w:numFmt w:val="bullet"/>
      <w:lvlText w:val="•"/>
      <w:lvlJc w:val="left"/>
      <w:pPr>
        <w:tabs>
          <w:tab w:val="num" w:pos="1440"/>
        </w:tabs>
        <w:ind w:left="1440" w:hanging="360"/>
      </w:pPr>
      <w:rPr>
        <w:rFonts w:ascii="Arial" w:hAnsi="Arial" w:hint="default"/>
      </w:rPr>
    </w:lvl>
    <w:lvl w:ilvl="2" w:tplc="584E3C82">
      <w:numFmt w:val="bullet"/>
      <w:lvlText w:val="•"/>
      <w:lvlJc w:val="left"/>
      <w:pPr>
        <w:tabs>
          <w:tab w:val="num" w:pos="2160"/>
        </w:tabs>
        <w:ind w:left="2160" w:hanging="360"/>
      </w:pPr>
      <w:rPr>
        <w:rFonts w:ascii="Arial" w:hAnsi="Arial" w:hint="default"/>
      </w:rPr>
    </w:lvl>
    <w:lvl w:ilvl="3" w:tplc="975E7922">
      <w:numFmt w:val="bullet"/>
      <w:lvlText w:val="•"/>
      <w:lvlJc w:val="left"/>
      <w:pPr>
        <w:tabs>
          <w:tab w:val="num" w:pos="2880"/>
        </w:tabs>
        <w:ind w:left="2880" w:hanging="360"/>
      </w:pPr>
      <w:rPr>
        <w:rFonts w:ascii="Arial" w:hAnsi="Arial" w:hint="default"/>
      </w:rPr>
    </w:lvl>
    <w:lvl w:ilvl="4" w:tplc="AF1C70F6">
      <w:start w:val="1"/>
      <w:numFmt w:val="bullet"/>
      <w:lvlText w:val="•"/>
      <w:lvlJc w:val="left"/>
      <w:pPr>
        <w:tabs>
          <w:tab w:val="num" w:pos="3600"/>
        </w:tabs>
        <w:ind w:left="3600" w:hanging="360"/>
      </w:pPr>
      <w:rPr>
        <w:rFonts w:ascii="Arial" w:hAnsi="Arial" w:hint="default"/>
      </w:rPr>
    </w:lvl>
    <w:lvl w:ilvl="5" w:tplc="06962834">
      <w:start w:val="1"/>
      <w:numFmt w:val="bullet"/>
      <w:lvlText w:val="•"/>
      <w:lvlJc w:val="left"/>
      <w:pPr>
        <w:tabs>
          <w:tab w:val="num" w:pos="4320"/>
        </w:tabs>
        <w:ind w:left="4320" w:hanging="360"/>
      </w:pPr>
      <w:rPr>
        <w:rFonts w:ascii="Arial" w:hAnsi="Arial" w:hint="default"/>
      </w:rPr>
    </w:lvl>
    <w:lvl w:ilvl="6" w:tplc="C6D67A68" w:tentative="1">
      <w:start w:val="1"/>
      <w:numFmt w:val="bullet"/>
      <w:lvlText w:val="•"/>
      <w:lvlJc w:val="left"/>
      <w:pPr>
        <w:tabs>
          <w:tab w:val="num" w:pos="5040"/>
        </w:tabs>
        <w:ind w:left="5040" w:hanging="360"/>
      </w:pPr>
      <w:rPr>
        <w:rFonts w:ascii="Arial" w:hAnsi="Arial" w:hint="default"/>
      </w:rPr>
    </w:lvl>
    <w:lvl w:ilvl="7" w:tplc="5BBE1EE4" w:tentative="1">
      <w:start w:val="1"/>
      <w:numFmt w:val="bullet"/>
      <w:lvlText w:val="•"/>
      <w:lvlJc w:val="left"/>
      <w:pPr>
        <w:tabs>
          <w:tab w:val="num" w:pos="5760"/>
        </w:tabs>
        <w:ind w:left="5760" w:hanging="360"/>
      </w:pPr>
      <w:rPr>
        <w:rFonts w:ascii="Arial" w:hAnsi="Arial" w:hint="default"/>
      </w:rPr>
    </w:lvl>
    <w:lvl w:ilvl="8" w:tplc="6DAE171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D5F6EE6"/>
    <w:multiLevelType w:val="hybridMultilevel"/>
    <w:tmpl w:val="8A86B9AC"/>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num w:numId="1">
    <w:abstractNumId w:val="0"/>
  </w:num>
  <w:num w:numId="2">
    <w:abstractNumId w:val="13"/>
  </w:num>
  <w:num w:numId="3">
    <w:abstractNumId w:val="7"/>
  </w:num>
  <w:num w:numId="4">
    <w:abstractNumId w:val="8"/>
  </w:num>
  <w:num w:numId="5">
    <w:abstractNumId w:val="5"/>
  </w:num>
  <w:num w:numId="6">
    <w:abstractNumId w:val="9"/>
  </w:num>
  <w:num w:numId="7">
    <w:abstractNumId w:val="14"/>
  </w:num>
  <w:num w:numId="8">
    <w:abstractNumId w:val="6"/>
  </w:num>
  <w:num w:numId="9">
    <w:abstractNumId w:val="17"/>
  </w:num>
  <w:num w:numId="10">
    <w:abstractNumId w:val="4"/>
  </w:num>
  <w:num w:numId="11">
    <w:abstractNumId w:val="2"/>
  </w:num>
  <w:num w:numId="12">
    <w:abstractNumId w:val="10"/>
  </w:num>
  <w:num w:numId="13">
    <w:abstractNumId w:val="16"/>
  </w:num>
  <w:num w:numId="14">
    <w:abstractNumId w:val="3"/>
  </w:num>
  <w:num w:numId="15">
    <w:abstractNumId w:val="0"/>
  </w:num>
  <w:num w:numId="16">
    <w:abstractNumId w:val="11"/>
  </w:num>
  <w:num w:numId="17">
    <w:abstractNumId w:val="1"/>
  </w:num>
  <w:num w:numId="18">
    <w:abstractNumId w:val="19"/>
  </w:num>
  <w:num w:numId="19">
    <w:abstractNumId w:val="12"/>
  </w:num>
  <w:num w:numId="20">
    <w:abstractNumId w:val="15"/>
  </w:num>
  <w:num w:numId="21">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175"/>
    <w:rsid w:val="00002BC4"/>
    <w:rsid w:val="00002F99"/>
    <w:rsid w:val="0000325C"/>
    <w:rsid w:val="00003703"/>
    <w:rsid w:val="00003E50"/>
    <w:rsid w:val="00003EC3"/>
    <w:rsid w:val="00004C2D"/>
    <w:rsid w:val="00005012"/>
    <w:rsid w:val="00006446"/>
    <w:rsid w:val="00006896"/>
    <w:rsid w:val="00007CDC"/>
    <w:rsid w:val="000104C6"/>
    <w:rsid w:val="000110C9"/>
    <w:rsid w:val="00011B28"/>
    <w:rsid w:val="00011B31"/>
    <w:rsid w:val="00011EE8"/>
    <w:rsid w:val="00012B9F"/>
    <w:rsid w:val="00012C16"/>
    <w:rsid w:val="000153E9"/>
    <w:rsid w:val="00015D15"/>
    <w:rsid w:val="0001611C"/>
    <w:rsid w:val="0001694D"/>
    <w:rsid w:val="00016B21"/>
    <w:rsid w:val="000207A8"/>
    <w:rsid w:val="000208E4"/>
    <w:rsid w:val="00021143"/>
    <w:rsid w:val="00022522"/>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0C1"/>
    <w:rsid w:val="000604D2"/>
    <w:rsid w:val="000616E7"/>
    <w:rsid w:val="00061829"/>
    <w:rsid w:val="0006232B"/>
    <w:rsid w:val="000625C8"/>
    <w:rsid w:val="000631D9"/>
    <w:rsid w:val="00063AC3"/>
    <w:rsid w:val="00063EF3"/>
    <w:rsid w:val="0006407D"/>
    <w:rsid w:val="000641AA"/>
    <w:rsid w:val="000645B8"/>
    <w:rsid w:val="0006487E"/>
    <w:rsid w:val="00065243"/>
    <w:rsid w:val="00065E1A"/>
    <w:rsid w:val="00065F7E"/>
    <w:rsid w:val="00070074"/>
    <w:rsid w:val="00070D25"/>
    <w:rsid w:val="00071225"/>
    <w:rsid w:val="000715A7"/>
    <w:rsid w:val="00071DCA"/>
    <w:rsid w:val="000724F8"/>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3BE4"/>
    <w:rsid w:val="00084052"/>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447B"/>
    <w:rsid w:val="000A56F2"/>
    <w:rsid w:val="000A7DC3"/>
    <w:rsid w:val="000B0223"/>
    <w:rsid w:val="000B02A2"/>
    <w:rsid w:val="000B0640"/>
    <w:rsid w:val="000B0A01"/>
    <w:rsid w:val="000B254C"/>
    <w:rsid w:val="000B2719"/>
    <w:rsid w:val="000B3347"/>
    <w:rsid w:val="000B3516"/>
    <w:rsid w:val="000B3A8F"/>
    <w:rsid w:val="000B4AB9"/>
    <w:rsid w:val="000B516D"/>
    <w:rsid w:val="000B58C3"/>
    <w:rsid w:val="000B5E2E"/>
    <w:rsid w:val="000B61E9"/>
    <w:rsid w:val="000B64DA"/>
    <w:rsid w:val="000B6BB9"/>
    <w:rsid w:val="000B6BFB"/>
    <w:rsid w:val="000B730C"/>
    <w:rsid w:val="000B7771"/>
    <w:rsid w:val="000B781C"/>
    <w:rsid w:val="000C14A2"/>
    <w:rsid w:val="000C165A"/>
    <w:rsid w:val="000C1E19"/>
    <w:rsid w:val="000C2365"/>
    <w:rsid w:val="000C2C1D"/>
    <w:rsid w:val="000C2CD0"/>
    <w:rsid w:val="000C2E19"/>
    <w:rsid w:val="000C3794"/>
    <w:rsid w:val="000C501B"/>
    <w:rsid w:val="000C50FA"/>
    <w:rsid w:val="000C64E6"/>
    <w:rsid w:val="000C6F9D"/>
    <w:rsid w:val="000D0D07"/>
    <w:rsid w:val="000D162D"/>
    <w:rsid w:val="000D2F63"/>
    <w:rsid w:val="000D4797"/>
    <w:rsid w:val="000D4D63"/>
    <w:rsid w:val="000D4E3B"/>
    <w:rsid w:val="000D51D9"/>
    <w:rsid w:val="000D57A7"/>
    <w:rsid w:val="000D5C17"/>
    <w:rsid w:val="000E0527"/>
    <w:rsid w:val="000E0669"/>
    <w:rsid w:val="000E18EA"/>
    <w:rsid w:val="000E1E92"/>
    <w:rsid w:val="000E20F9"/>
    <w:rsid w:val="000E22A6"/>
    <w:rsid w:val="000E23FF"/>
    <w:rsid w:val="000E240A"/>
    <w:rsid w:val="000E371D"/>
    <w:rsid w:val="000E3B9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4D4F"/>
    <w:rsid w:val="00125448"/>
    <w:rsid w:val="00125B92"/>
    <w:rsid w:val="00125D8C"/>
    <w:rsid w:val="00125FDB"/>
    <w:rsid w:val="00126305"/>
    <w:rsid w:val="00126B4A"/>
    <w:rsid w:val="00127D88"/>
    <w:rsid w:val="0013192D"/>
    <w:rsid w:val="00131BF9"/>
    <w:rsid w:val="00131FE9"/>
    <w:rsid w:val="00132FD0"/>
    <w:rsid w:val="001330B8"/>
    <w:rsid w:val="00133497"/>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BA6"/>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59C1"/>
    <w:rsid w:val="0016660C"/>
    <w:rsid w:val="001669BD"/>
    <w:rsid w:val="0016726A"/>
    <w:rsid w:val="00167BD5"/>
    <w:rsid w:val="00170AE4"/>
    <w:rsid w:val="001711A9"/>
    <w:rsid w:val="00171478"/>
    <w:rsid w:val="00171FAE"/>
    <w:rsid w:val="001735B9"/>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29CC"/>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430"/>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0CA"/>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217E"/>
    <w:rsid w:val="001E23E4"/>
    <w:rsid w:val="001E2AD7"/>
    <w:rsid w:val="001E3F06"/>
    <w:rsid w:val="001E58E2"/>
    <w:rsid w:val="001E5F35"/>
    <w:rsid w:val="001E7AED"/>
    <w:rsid w:val="001F0CCF"/>
    <w:rsid w:val="001F2F31"/>
    <w:rsid w:val="001F36C3"/>
    <w:rsid w:val="001F3916"/>
    <w:rsid w:val="001F4037"/>
    <w:rsid w:val="001F4676"/>
    <w:rsid w:val="001F54C5"/>
    <w:rsid w:val="001F5B50"/>
    <w:rsid w:val="001F5FD9"/>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51F"/>
    <w:rsid w:val="002245DE"/>
    <w:rsid w:val="00224ABC"/>
    <w:rsid w:val="00224CC9"/>
    <w:rsid w:val="0022523C"/>
    <w:rsid w:val="002252C3"/>
    <w:rsid w:val="00225343"/>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3046"/>
    <w:rsid w:val="00233E89"/>
    <w:rsid w:val="002346E3"/>
    <w:rsid w:val="002349E8"/>
    <w:rsid w:val="00235632"/>
    <w:rsid w:val="00235872"/>
    <w:rsid w:val="00235934"/>
    <w:rsid w:val="00235CAB"/>
    <w:rsid w:val="00235DAD"/>
    <w:rsid w:val="00236493"/>
    <w:rsid w:val="002368DB"/>
    <w:rsid w:val="00236ED3"/>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3CD1"/>
    <w:rsid w:val="0025555E"/>
    <w:rsid w:val="00255D36"/>
    <w:rsid w:val="00257543"/>
    <w:rsid w:val="002577E6"/>
    <w:rsid w:val="00260656"/>
    <w:rsid w:val="00260A05"/>
    <w:rsid w:val="00261092"/>
    <w:rsid w:val="00261782"/>
    <w:rsid w:val="002617E7"/>
    <w:rsid w:val="00261A3A"/>
    <w:rsid w:val="00262A43"/>
    <w:rsid w:val="00262A45"/>
    <w:rsid w:val="002637AE"/>
    <w:rsid w:val="00264189"/>
    <w:rsid w:val="00264228"/>
    <w:rsid w:val="00264334"/>
    <w:rsid w:val="0026473E"/>
    <w:rsid w:val="00265521"/>
    <w:rsid w:val="00265C81"/>
    <w:rsid w:val="00265D68"/>
    <w:rsid w:val="00266214"/>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D99"/>
    <w:rsid w:val="00280E8F"/>
    <w:rsid w:val="00281605"/>
    <w:rsid w:val="002819A4"/>
    <w:rsid w:val="00281C9B"/>
    <w:rsid w:val="002821B7"/>
    <w:rsid w:val="0028265E"/>
    <w:rsid w:val="0028280A"/>
    <w:rsid w:val="0028305E"/>
    <w:rsid w:val="0028360D"/>
    <w:rsid w:val="002838A1"/>
    <w:rsid w:val="00283A0A"/>
    <w:rsid w:val="0028409E"/>
    <w:rsid w:val="002847E2"/>
    <w:rsid w:val="0028487A"/>
    <w:rsid w:val="00284AA5"/>
    <w:rsid w:val="00284B8C"/>
    <w:rsid w:val="002850AC"/>
    <w:rsid w:val="0028606E"/>
    <w:rsid w:val="00286560"/>
    <w:rsid w:val="00286ACD"/>
    <w:rsid w:val="00286BFC"/>
    <w:rsid w:val="002871CF"/>
    <w:rsid w:val="00287838"/>
    <w:rsid w:val="002907B5"/>
    <w:rsid w:val="00290CC2"/>
    <w:rsid w:val="002911CE"/>
    <w:rsid w:val="002912C6"/>
    <w:rsid w:val="0029135D"/>
    <w:rsid w:val="00291685"/>
    <w:rsid w:val="00292EB7"/>
    <w:rsid w:val="00293390"/>
    <w:rsid w:val="002937A1"/>
    <w:rsid w:val="002956C0"/>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A74AB"/>
    <w:rsid w:val="002A7683"/>
    <w:rsid w:val="002A7980"/>
    <w:rsid w:val="002B1FD5"/>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BDD"/>
    <w:rsid w:val="002C3FD2"/>
    <w:rsid w:val="002C400F"/>
    <w:rsid w:val="002C4156"/>
    <w:rsid w:val="002C41E6"/>
    <w:rsid w:val="002C4435"/>
    <w:rsid w:val="002C4558"/>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B9B"/>
    <w:rsid w:val="002D6E41"/>
    <w:rsid w:val="002D7637"/>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1E7F"/>
    <w:rsid w:val="002F277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270CE"/>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BDA"/>
    <w:rsid w:val="00337135"/>
    <w:rsid w:val="0034070B"/>
    <w:rsid w:val="00340CA8"/>
    <w:rsid w:val="0034106C"/>
    <w:rsid w:val="0034166C"/>
    <w:rsid w:val="003419A8"/>
    <w:rsid w:val="00342BD7"/>
    <w:rsid w:val="00343C63"/>
    <w:rsid w:val="0034447A"/>
    <w:rsid w:val="003452ED"/>
    <w:rsid w:val="00346123"/>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B6D"/>
    <w:rsid w:val="00354F66"/>
    <w:rsid w:val="0035511B"/>
    <w:rsid w:val="00356081"/>
    <w:rsid w:val="00357380"/>
    <w:rsid w:val="00360259"/>
    <w:rsid w:val="003602D9"/>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3969"/>
    <w:rsid w:val="003742AC"/>
    <w:rsid w:val="003744CE"/>
    <w:rsid w:val="00374F8B"/>
    <w:rsid w:val="00375719"/>
    <w:rsid w:val="0037673C"/>
    <w:rsid w:val="003768AA"/>
    <w:rsid w:val="00376B0A"/>
    <w:rsid w:val="0037719F"/>
    <w:rsid w:val="00377CE1"/>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5F4"/>
    <w:rsid w:val="003C2702"/>
    <w:rsid w:val="003C2907"/>
    <w:rsid w:val="003C3076"/>
    <w:rsid w:val="003C359F"/>
    <w:rsid w:val="003C4FFF"/>
    <w:rsid w:val="003C62E9"/>
    <w:rsid w:val="003C62ED"/>
    <w:rsid w:val="003C6C78"/>
    <w:rsid w:val="003C6D1B"/>
    <w:rsid w:val="003C6E0C"/>
    <w:rsid w:val="003C733E"/>
    <w:rsid w:val="003C7806"/>
    <w:rsid w:val="003D109F"/>
    <w:rsid w:val="003D17ED"/>
    <w:rsid w:val="003D2478"/>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4A5"/>
    <w:rsid w:val="003E3A77"/>
    <w:rsid w:val="003E3DD1"/>
    <w:rsid w:val="003E40EF"/>
    <w:rsid w:val="003E42D2"/>
    <w:rsid w:val="003E4493"/>
    <w:rsid w:val="003E46C7"/>
    <w:rsid w:val="003E4789"/>
    <w:rsid w:val="003E484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921"/>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58"/>
    <w:rsid w:val="00434ED0"/>
    <w:rsid w:val="00437447"/>
    <w:rsid w:val="00440C67"/>
    <w:rsid w:val="004410B9"/>
    <w:rsid w:val="00441829"/>
    <w:rsid w:val="00441A92"/>
    <w:rsid w:val="004427DC"/>
    <w:rsid w:val="00442A5F"/>
    <w:rsid w:val="00443C63"/>
    <w:rsid w:val="00443D29"/>
    <w:rsid w:val="00444B1D"/>
    <w:rsid w:val="00444F56"/>
    <w:rsid w:val="004452C3"/>
    <w:rsid w:val="00445828"/>
    <w:rsid w:val="004459B0"/>
    <w:rsid w:val="004459C8"/>
    <w:rsid w:val="00446488"/>
    <w:rsid w:val="00446A99"/>
    <w:rsid w:val="0044705A"/>
    <w:rsid w:val="004475BC"/>
    <w:rsid w:val="00447BC3"/>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473E"/>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955"/>
    <w:rsid w:val="00481DE7"/>
    <w:rsid w:val="00481FB4"/>
    <w:rsid w:val="0048266F"/>
    <w:rsid w:val="00482695"/>
    <w:rsid w:val="0048363F"/>
    <w:rsid w:val="00483EFF"/>
    <w:rsid w:val="004842C3"/>
    <w:rsid w:val="00484787"/>
    <w:rsid w:val="0048579F"/>
    <w:rsid w:val="00485B50"/>
    <w:rsid w:val="0048634B"/>
    <w:rsid w:val="00486739"/>
    <w:rsid w:val="00487362"/>
    <w:rsid w:val="00490025"/>
    <w:rsid w:val="00490B24"/>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151"/>
    <w:rsid w:val="0050268E"/>
    <w:rsid w:val="0050318E"/>
    <w:rsid w:val="00504512"/>
    <w:rsid w:val="00504D78"/>
    <w:rsid w:val="00505EAF"/>
    <w:rsid w:val="00506557"/>
    <w:rsid w:val="0050677A"/>
    <w:rsid w:val="00506849"/>
    <w:rsid w:val="00506D5C"/>
    <w:rsid w:val="00507194"/>
    <w:rsid w:val="005104E2"/>
    <w:rsid w:val="005108D8"/>
    <w:rsid w:val="00511392"/>
    <w:rsid w:val="005116F9"/>
    <w:rsid w:val="00511B0B"/>
    <w:rsid w:val="00512181"/>
    <w:rsid w:val="0051249C"/>
    <w:rsid w:val="00512811"/>
    <w:rsid w:val="00512D74"/>
    <w:rsid w:val="00514531"/>
    <w:rsid w:val="005146A4"/>
    <w:rsid w:val="005153A7"/>
    <w:rsid w:val="00517FD4"/>
    <w:rsid w:val="005219CF"/>
    <w:rsid w:val="00522170"/>
    <w:rsid w:val="00522857"/>
    <w:rsid w:val="005234AA"/>
    <w:rsid w:val="005251B0"/>
    <w:rsid w:val="00525A40"/>
    <w:rsid w:val="005266DD"/>
    <w:rsid w:val="00527D68"/>
    <w:rsid w:val="00530333"/>
    <w:rsid w:val="00530D7E"/>
    <w:rsid w:val="00532A25"/>
    <w:rsid w:val="00533C5F"/>
    <w:rsid w:val="00534AE0"/>
    <w:rsid w:val="00534B59"/>
    <w:rsid w:val="00534D24"/>
    <w:rsid w:val="00535499"/>
    <w:rsid w:val="00535666"/>
    <w:rsid w:val="00536759"/>
    <w:rsid w:val="00536B97"/>
    <w:rsid w:val="00536C8A"/>
    <w:rsid w:val="00536DF7"/>
    <w:rsid w:val="00537C62"/>
    <w:rsid w:val="00537DB8"/>
    <w:rsid w:val="005408C3"/>
    <w:rsid w:val="00541033"/>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1810"/>
    <w:rsid w:val="00554164"/>
    <w:rsid w:val="0055446D"/>
    <w:rsid w:val="00554D8B"/>
    <w:rsid w:val="00554E19"/>
    <w:rsid w:val="00555048"/>
    <w:rsid w:val="00555A05"/>
    <w:rsid w:val="0055688F"/>
    <w:rsid w:val="005574AF"/>
    <w:rsid w:val="005577C0"/>
    <w:rsid w:val="00560C31"/>
    <w:rsid w:val="0056121F"/>
    <w:rsid w:val="00563ABE"/>
    <w:rsid w:val="00563BB8"/>
    <w:rsid w:val="00563D67"/>
    <w:rsid w:val="00564FBF"/>
    <w:rsid w:val="00565DED"/>
    <w:rsid w:val="00565E04"/>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72D"/>
    <w:rsid w:val="005817C9"/>
    <w:rsid w:val="00582561"/>
    <w:rsid w:val="00582809"/>
    <w:rsid w:val="00583F8C"/>
    <w:rsid w:val="00584294"/>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6049"/>
    <w:rsid w:val="005A6075"/>
    <w:rsid w:val="005A662D"/>
    <w:rsid w:val="005A6991"/>
    <w:rsid w:val="005A752F"/>
    <w:rsid w:val="005B0105"/>
    <w:rsid w:val="005B0595"/>
    <w:rsid w:val="005B0BA9"/>
    <w:rsid w:val="005B0E9B"/>
    <w:rsid w:val="005B0EED"/>
    <w:rsid w:val="005B1908"/>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71C"/>
    <w:rsid w:val="005C2555"/>
    <w:rsid w:val="005C2834"/>
    <w:rsid w:val="005C37F3"/>
    <w:rsid w:val="005C42CB"/>
    <w:rsid w:val="005C433B"/>
    <w:rsid w:val="005C4C86"/>
    <w:rsid w:val="005C61AC"/>
    <w:rsid w:val="005C65B6"/>
    <w:rsid w:val="005C6CEF"/>
    <w:rsid w:val="005C6E03"/>
    <w:rsid w:val="005C74FB"/>
    <w:rsid w:val="005C76FB"/>
    <w:rsid w:val="005C7D19"/>
    <w:rsid w:val="005D030D"/>
    <w:rsid w:val="005D1602"/>
    <w:rsid w:val="005D28DF"/>
    <w:rsid w:val="005D2D53"/>
    <w:rsid w:val="005D32AE"/>
    <w:rsid w:val="005D3BD2"/>
    <w:rsid w:val="005D4AB0"/>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51F"/>
    <w:rsid w:val="0060283C"/>
    <w:rsid w:val="00602EF6"/>
    <w:rsid w:val="00603A84"/>
    <w:rsid w:val="00604F14"/>
    <w:rsid w:val="00605289"/>
    <w:rsid w:val="00605346"/>
    <w:rsid w:val="006059C5"/>
    <w:rsid w:val="00606ECD"/>
    <w:rsid w:val="006074C1"/>
    <w:rsid w:val="0060764F"/>
    <w:rsid w:val="00610E1F"/>
    <w:rsid w:val="006110CB"/>
    <w:rsid w:val="00611209"/>
    <w:rsid w:val="00611AB9"/>
    <w:rsid w:val="00611FDB"/>
    <w:rsid w:val="00613257"/>
    <w:rsid w:val="00614994"/>
    <w:rsid w:val="00614D6D"/>
    <w:rsid w:val="006151D2"/>
    <w:rsid w:val="00615318"/>
    <w:rsid w:val="00616D03"/>
    <w:rsid w:val="00620B97"/>
    <w:rsid w:val="00621662"/>
    <w:rsid w:val="00621751"/>
    <w:rsid w:val="0062281D"/>
    <w:rsid w:val="00623058"/>
    <w:rsid w:val="006230F2"/>
    <w:rsid w:val="006232E1"/>
    <w:rsid w:val="006234A6"/>
    <w:rsid w:val="006252E1"/>
    <w:rsid w:val="006254B7"/>
    <w:rsid w:val="00626130"/>
    <w:rsid w:val="006261B8"/>
    <w:rsid w:val="006262BE"/>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A2"/>
    <w:rsid w:val="0065127D"/>
    <w:rsid w:val="00652807"/>
    <w:rsid w:val="00652CED"/>
    <w:rsid w:val="00653266"/>
    <w:rsid w:val="006533E6"/>
    <w:rsid w:val="006538F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79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6FB"/>
    <w:rsid w:val="006A4DF1"/>
    <w:rsid w:val="006A52D5"/>
    <w:rsid w:val="006A586C"/>
    <w:rsid w:val="006A5E28"/>
    <w:rsid w:val="006A613C"/>
    <w:rsid w:val="006A6555"/>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85B"/>
    <w:rsid w:val="006C3BFD"/>
    <w:rsid w:val="006C405C"/>
    <w:rsid w:val="006C4B07"/>
    <w:rsid w:val="006C4E5C"/>
    <w:rsid w:val="006C545C"/>
    <w:rsid w:val="006C58DF"/>
    <w:rsid w:val="006C59FF"/>
    <w:rsid w:val="006C5B25"/>
    <w:rsid w:val="006C5EC9"/>
    <w:rsid w:val="006C6059"/>
    <w:rsid w:val="006C65D0"/>
    <w:rsid w:val="006C74F8"/>
    <w:rsid w:val="006C7522"/>
    <w:rsid w:val="006D0AF4"/>
    <w:rsid w:val="006D0EF3"/>
    <w:rsid w:val="006D139D"/>
    <w:rsid w:val="006D1544"/>
    <w:rsid w:val="006D305F"/>
    <w:rsid w:val="006D351A"/>
    <w:rsid w:val="006D4C5B"/>
    <w:rsid w:val="006D5CE4"/>
    <w:rsid w:val="006D5FB2"/>
    <w:rsid w:val="006D6046"/>
    <w:rsid w:val="006D6645"/>
    <w:rsid w:val="006D6F08"/>
    <w:rsid w:val="006D74BE"/>
    <w:rsid w:val="006D79AB"/>
    <w:rsid w:val="006D7DA7"/>
    <w:rsid w:val="006E0100"/>
    <w:rsid w:val="006E062C"/>
    <w:rsid w:val="006E0EB9"/>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92A"/>
    <w:rsid w:val="006F1B70"/>
    <w:rsid w:val="006F2504"/>
    <w:rsid w:val="006F341D"/>
    <w:rsid w:val="006F3B3A"/>
    <w:rsid w:val="006F43CD"/>
    <w:rsid w:val="006F487D"/>
    <w:rsid w:val="006F58D4"/>
    <w:rsid w:val="006F5C9A"/>
    <w:rsid w:val="006F5CAA"/>
    <w:rsid w:val="006F71DC"/>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3F9"/>
    <w:rsid w:val="0070766F"/>
    <w:rsid w:val="00707ADF"/>
    <w:rsid w:val="00707D61"/>
    <w:rsid w:val="007104E3"/>
    <w:rsid w:val="007118CA"/>
    <w:rsid w:val="00711D31"/>
    <w:rsid w:val="00712287"/>
    <w:rsid w:val="00712772"/>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649"/>
    <w:rsid w:val="00724AE1"/>
    <w:rsid w:val="00725161"/>
    <w:rsid w:val="00725300"/>
    <w:rsid w:val="00725B07"/>
    <w:rsid w:val="007263AE"/>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27AE"/>
    <w:rsid w:val="007445A0"/>
    <w:rsid w:val="007451E7"/>
    <w:rsid w:val="0074524B"/>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C05"/>
    <w:rsid w:val="007619D7"/>
    <w:rsid w:val="007623FB"/>
    <w:rsid w:val="00763B30"/>
    <w:rsid w:val="00764724"/>
    <w:rsid w:val="00765281"/>
    <w:rsid w:val="00766BAD"/>
    <w:rsid w:val="00770099"/>
    <w:rsid w:val="00770226"/>
    <w:rsid w:val="00771418"/>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1ED9"/>
    <w:rsid w:val="007922A9"/>
    <w:rsid w:val="007925EA"/>
    <w:rsid w:val="00792975"/>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306F"/>
    <w:rsid w:val="007A43A6"/>
    <w:rsid w:val="007A53E5"/>
    <w:rsid w:val="007A58A6"/>
    <w:rsid w:val="007A5EED"/>
    <w:rsid w:val="007A61D2"/>
    <w:rsid w:val="007A6261"/>
    <w:rsid w:val="007A6495"/>
    <w:rsid w:val="007A6F2F"/>
    <w:rsid w:val="007A7053"/>
    <w:rsid w:val="007B29DB"/>
    <w:rsid w:val="007B3D2D"/>
    <w:rsid w:val="007B437F"/>
    <w:rsid w:val="007B485F"/>
    <w:rsid w:val="007B50AE"/>
    <w:rsid w:val="007B51DF"/>
    <w:rsid w:val="007B5C47"/>
    <w:rsid w:val="007B6B74"/>
    <w:rsid w:val="007B75D5"/>
    <w:rsid w:val="007B7875"/>
    <w:rsid w:val="007C0476"/>
    <w:rsid w:val="007C05DD"/>
    <w:rsid w:val="007C13CB"/>
    <w:rsid w:val="007C19C1"/>
    <w:rsid w:val="007C22DA"/>
    <w:rsid w:val="007C28B9"/>
    <w:rsid w:val="007C2B96"/>
    <w:rsid w:val="007C2E46"/>
    <w:rsid w:val="007C3D18"/>
    <w:rsid w:val="007C459E"/>
    <w:rsid w:val="007C4B39"/>
    <w:rsid w:val="007C60BF"/>
    <w:rsid w:val="007C61AB"/>
    <w:rsid w:val="007C6A07"/>
    <w:rsid w:val="007C75A1"/>
    <w:rsid w:val="007C77A5"/>
    <w:rsid w:val="007D0217"/>
    <w:rsid w:val="007D04E5"/>
    <w:rsid w:val="007D08CC"/>
    <w:rsid w:val="007D1E22"/>
    <w:rsid w:val="007D261C"/>
    <w:rsid w:val="007D28AC"/>
    <w:rsid w:val="007D40BA"/>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419"/>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4C82"/>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990"/>
    <w:rsid w:val="00847D83"/>
    <w:rsid w:val="008500C9"/>
    <w:rsid w:val="00851238"/>
    <w:rsid w:val="00851C3F"/>
    <w:rsid w:val="008529CC"/>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55E4"/>
    <w:rsid w:val="00886D00"/>
    <w:rsid w:val="00886D44"/>
    <w:rsid w:val="00886F61"/>
    <w:rsid w:val="00887B43"/>
    <w:rsid w:val="008907CA"/>
    <w:rsid w:val="00891245"/>
    <w:rsid w:val="008913FE"/>
    <w:rsid w:val="00891DA1"/>
    <w:rsid w:val="00892CFF"/>
    <w:rsid w:val="0089347C"/>
    <w:rsid w:val="00894047"/>
    <w:rsid w:val="008947E4"/>
    <w:rsid w:val="00894A3E"/>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2932"/>
    <w:rsid w:val="008B45A3"/>
    <w:rsid w:val="008B4D4B"/>
    <w:rsid w:val="008B5156"/>
    <w:rsid w:val="008B51A0"/>
    <w:rsid w:val="008B592A"/>
    <w:rsid w:val="008B5D1A"/>
    <w:rsid w:val="008B619D"/>
    <w:rsid w:val="008B6276"/>
    <w:rsid w:val="008B7465"/>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5320"/>
    <w:rsid w:val="008D680E"/>
    <w:rsid w:val="008D6D1A"/>
    <w:rsid w:val="008D6EB3"/>
    <w:rsid w:val="008E07F9"/>
    <w:rsid w:val="008E0927"/>
    <w:rsid w:val="008E0DC8"/>
    <w:rsid w:val="008E0E1F"/>
    <w:rsid w:val="008E10C0"/>
    <w:rsid w:val="008E1909"/>
    <w:rsid w:val="008E2A65"/>
    <w:rsid w:val="008E30B6"/>
    <w:rsid w:val="008E33E0"/>
    <w:rsid w:val="008E3C1B"/>
    <w:rsid w:val="008E3E1F"/>
    <w:rsid w:val="008E436E"/>
    <w:rsid w:val="008E49D0"/>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33DC"/>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533B"/>
    <w:rsid w:val="0092560F"/>
    <w:rsid w:val="00925878"/>
    <w:rsid w:val="00925CBD"/>
    <w:rsid w:val="009260E4"/>
    <w:rsid w:val="00927AAE"/>
    <w:rsid w:val="00931BD9"/>
    <w:rsid w:val="00932130"/>
    <w:rsid w:val="00932952"/>
    <w:rsid w:val="00933367"/>
    <w:rsid w:val="00933E80"/>
    <w:rsid w:val="00934396"/>
    <w:rsid w:val="00934733"/>
    <w:rsid w:val="009349BB"/>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73F"/>
    <w:rsid w:val="00961921"/>
    <w:rsid w:val="0096240B"/>
    <w:rsid w:val="0096355B"/>
    <w:rsid w:val="00963BD3"/>
    <w:rsid w:val="00963C1E"/>
    <w:rsid w:val="0096411D"/>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C7B"/>
    <w:rsid w:val="00976D35"/>
    <w:rsid w:val="00977A89"/>
    <w:rsid w:val="00977F6E"/>
    <w:rsid w:val="00980477"/>
    <w:rsid w:val="0098062F"/>
    <w:rsid w:val="009817BF"/>
    <w:rsid w:val="009820F4"/>
    <w:rsid w:val="009829B1"/>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C0587"/>
    <w:rsid w:val="009C1D45"/>
    <w:rsid w:val="009C273D"/>
    <w:rsid w:val="009C2DAB"/>
    <w:rsid w:val="009C30B2"/>
    <w:rsid w:val="009C403E"/>
    <w:rsid w:val="009C4923"/>
    <w:rsid w:val="009C5410"/>
    <w:rsid w:val="009C5948"/>
    <w:rsid w:val="009C5A31"/>
    <w:rsid w:val="009C62EF"/>
    <w:rsid w:val="009C6640"/>
    <w:rsid w:val="009C6698"/>
    <w:rsid w:val="009C742A"/>
    <w:rsid w:val="009C78AC"/>
    <w:rsid w:val="009D111B"/>
    <w:rsid w:val="009D1829"/>
    <w:rsid w:val="009D2044"/>
    <w:rsid w:val="009D2ACB"/>
    <w:rsid w:val="009D34E4"/>
    <w:rsid w:val="009D378A"/>
    <w:rsid w:val="009D4689"/>
    <w:rsid w:val="009D492B"/>
    <w:rsid w:val="009D4D49"/>
    <w:rsid w:val="009D4F5A"/>
    <w:rsid w:val="009D4FF0"/>
    <w:rsid w:val="009D5262"/>
    <w:rsid w:val="009D597D"/>
    <w:rsid w:val="009D5BB6"/>
    <w:rsid w:val="009D62ED"/>
    <w:rsid w:val="009D67C7"/>
    <w:rsid w:val="009D6D19"/>
    <w:rsid w:val="009D703C"/>
    <w:rsid w:val="009D718F"/>
    <w:rsid w:val="009D7788"/>
    <w:rsid w:val="009D7E42"/>
    <w:rsid w:val="009E0213"/>
    <w:rsid w:val="009E068F"/>
    <w:rsid w:val="009E07DE"/>
    <w:rsid w:val="009E23F6"/>
    <w:rsid w:val="009E35DB"/>
    <w:rsid w:val="009E3609"/>
    <w:rsid w:val="009E3889"/>
    <w:rsid w:val="009E4004"/>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5ABE"/>
    <w:rsid w:val="009F6247"/>
    <w:rsid w:val="009F753B"/>
    <w:rsid w:val="009F7BDB"/>
    <w:rsid w:val="009F7C5C"/>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601E5"/>
    <w:rsid w:val="00A60DBF"/>
    <w:rsid w:val="00A6126F"/>
    <w:rsid w:val="00A61499"/>
    <w:rsid w:val="00A61757"/>
    <w:rsid w:val="00A62703"/>
    <w:rsid w:val="00A62C1F"/>
    <w:rsid w:val="00A63483"/>
    <w:rsid w:val="00A63DA4"/>
    <w:rsid w:val="00A647D1"/>
    <w:rsid w:val="00A64DD4"/>
    <w:rsid w:val="00A65943"/>
    <w:rsid w:val="00A660AC"/>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074D"/>
    <w:rsid w:val="00A81391"/>
    <w:rsid w:val="00A83B47"/>
    <w:rsid w:val="00A8445F"/>
    <w:rsid w:val="00A852ED"/>
    <w:rsid w:val="00A8531C"/>
    <w:rsid w:val="00A85A38"/>
    <w:rsid w:val="00A85D63"/>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3833"/>
    <w:rsid w:val="00AA446F"/>
    <w:rsid w:val="00AA51D6"/>
    <w:rsid w:val="00AA5D17"/>
    <w:rsid w:val="00AA76CD"/>
    <w:rsid w:val="00AB0338"/>
    <w:rsid w:val="00AB04D2"/>
    <w:rsid w:val="00AB0BC8"/>
    <w:rsid w:val="00AB11CA"/>
    <w:rsid w:val="00AB1387"/>
    <w:rsid w:val="00AB14D9"/>
    <w:rsid w:val="00AB19C7"/>
    <w:rsid w:val="00AB1B76"/>
    <w:rsid w:val="00AB1C41"/>
    <w:rsid w:val="00AB3B29"/>
    <w:rsid w:val="00AB4A89"/>
    <w:rsid w:val="00AB4AB8"/>
    <w:rsid w:val="00AB4BAA"/>
    <w:rsid w:val="00AB5469"/>
    <w:rsid w:val="00AB655E"/>
    <w:rsid w:val="00AB693B"/>
    <w:rsid w:val="00AB6EAE"/>
    <w:rsid w:val="00AB7DA2"/>
    <w:rsid w:val="00AC007F"/>
    <w:rsid w:val="00AC158C"/>
    <w:rsid w:val="00AC1AB7"/>
    <w:rsid w:val="00AC1D55"/>
    <w:rsid w:val="00AC1F56"/>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60D"/>
    <w:rsid w:val="00AE39D2"/>
    <w:rsid w:val="00AE3D3C"/>
    <w:rsid w:val="00AE3FA0"/>
    <w:rsid w:val="00AE40E0"/>
    <w:rsid w:val="00AE4646"/>
    <w:rsid w:val="00AE4DBA"/>
    <w:rsid w:val="00AE4F07"/>
    <w:rsid w:val="00AE5783"/>
    <w:rsid w:val="00AE71F0"/>
    <w:rsid w:val="00AE7707"/>
    <w:rsid w:val="00AF1C5D"/>
    <w:rsid w:val="00AF1E22"/>
    <w:rsid w:val="00AF271A"/>
    <w:rsid w:val="00AF3219"/>
    <w:rsid w:val="00AF42D7"/>
    <w:rsid w:val="00AF474B"/>
    <w:rsid w:val="00AF4AFF"/>
    <w:rsid w:val="00AF643F"/>
    <w:rsid w:val="00AF6DA0"/>
    <w:rsid w:val="00B0020B"/>
    <w:rsid w:val="00B006FE"/>
    <w:rsid w:val="00B007CB"/>
    <w:rsid w:val="00B00A65"/>
    <w:rsid w:val="00B023A7"/>
    <w:rsid w:val="00B02AA9"/>
    <w:rsid w:val="00B02D93"/>
    <w:rsid w:val="00B02FA3"/>
    <w:rsid w:val="00B03281"/>
    <w:rsid w:val="00B05084"/>
    <w:rsid w:val="00B10EEB"/>
    <w:rsid w:val="00B10F4C"/>
    <w:rsid w:val="00B11379"/>
    <w:rsid w:val="00B1177A"/>
    <w:rsid w:val="00B11D83"/>
    <w:rsid w:val="00B12447"/>
    <w:rsid w:val="00B132FF"/>
    <w:rsid w:val="00B143FA"/>
    <w:rsid w:val="00B146E4"/>
    <w:rsid w:val="00B14C3D"/>
    <w:rsid w:val="00B15781"/>
    <w:rsid w:val="00B157F9"/>
    <w:rsid w:val="00B159ED"/>
    <w:rsid w:val="00B15DA7"/>
    <w:rsid w:val="00B168FB"/>
    <w:rsid w:val="00B169C0"/>
    <w:rsid w:val="00B17846"/>
    <w:rsid w:val="00B17D61"/>
    <w:rsid w:val="00B200EB"/>
    <w:rsid w:val="00B20256"/>
    <w:rsid w:val="00B206FF"/>
    <w:rsid w:val="00B20D09"/>
    <w:rsid w:val="00B20DD9"/>
    <w:rsid w:val="00B21D5E"/>
    <w:rsid w:val="00B223A0"/>
    <w:rsid w:val="00B22634"/>
    <w:rsid w:val="00B231A3"/>
    <w:rsid w:val="00B2350A"/>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A8F"/>
    <w:rsid w:val="00B32BC1"/>
    <w:rsid w:val="00B337BC"/>
    <w:rsid w:val="00B34A46"/>
    <w:rsid w:val="00B35997"/>
    <w:rsid w:val="00B36C4C"/>
    <w:rsid w:val="00B36F25"/>
    <w:rsid w:val="00B36F3A"/>
    <w:rsid w:val="00B372AA"/>
    <w:rsid w:val="00B40445"/>
    <w:rsid w:val="00B41888"/>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7019D"/>
    <w:rsid w:val="00B7285B"/>
    <w:rsid w:val="00B72868"/>
    <w:rsid w:val="00B7331C"/>
    <w:rsid w:val="00B73583"/>
    <w:rsid w:val="00B739F6"/>
    <w:rsid w:val="00B76D2A"/>
    <w:rsid w:val="00B777F2"/>
    <w:rsid w:val="00B77951"/>
    <w:rsid w:val="00B77FFB"/>
    <w:rsid w:val="00B81A7B"/>
    <w:rsid w:val="00B81FF6"/>
    <w:rsid w:val="00B8209E"/>
    <w:rsid w:val="00B84C08"/>
    <w:rsid w:val="00B85203"/>
    <w:rsid w:val="00B852E5"/>
    <w:rsid w:val="00B85920"/>
    <w:rsid w:val="00B85DE5"/>
    <w:rsid w:val="00B85F55"/>
    <w:rsid w:val="00B85F9D"/>
    <w:rsid w:val="00B863E8"/>
    <w:rsid w:val="00B864FE"/>
    <w:rsid w:val="00B866B2"/>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032"/>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C0979"/>
    <w:rsid w:val="00BC0BC7"/>
    <w:rsid w:val="00BC0CE6"/>
    <w:rsid w:val="00BC0F31"/>
    <w:rsid w:val="00BC0FC0"/>
    <w:rsid w:val="00BC0FDC"/>
    <w:rsid w:val="00BC1353"/>
    <w:rsid w:val="00BC1A21"/>
    <w:rsid w:val="00BC424F"/>
    <w:rsid w:val="00BC4D2E"/>
    <w:rsid w:val="00BC4E54"/>
    <w:rsid w:val="00BC74D1"/>
    <w:rsid w:val="00BD0073"/>
    <w:rsid w:val="00BD3757"/>
    <w:rsid w:val="00BD48AC"/>
    <w:rsid w:val="00BD4AE4"/>
    <w:rsid w:val="00BD55BA"/>
    <w:rsid w:val="00BD5762"/>
    <w:rsid w:val="00BD5EB7"/>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8EA"/>
    <w:rsid w:val="00BE5CFC"/>
    <w:rsid w:val="00BE64B5"/>
    <w:rsid w:val="00BE7406"/>
    <w:rsid w:val="00BE7603"/>
    <w:rsid w:val="00BE78D7"/>
    <w:rsid w:val="00BF17FD"/>
    <w:rsid w:val="00BF1EDF"/>
    <w:rsid w:val="00BF3279"/>
    <w:rsid w:val="00BF3F37"/>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BC"/>
    <w:rsid w:val="00C11103"/>
    <w:rsid w:val="00C11633"/>
    <w:rsid w:val="00C11E79"/>
    <w:rsid w:val="00C12107"/>
    <w:rsid w:val="00C13962"/>
    <w:rsid w:val="00C14D4B"/>
    <w:rsid w:val="00C154BB"/>
    <w:rsid w:val="00C15D1A"/>
    <w:rsid w:val="00C1608A"/>
    <w:rsid w:val="00C16757"/>
    <w:rsid w:val="00C17316"/>
    <w:rsid w:val="00C226CD"/>
    <w:rsid w:val="00C23EAD"/>
    <w:rsid w:val="00C24AA4"/>
    <w:rsid w:val="00C24D21"/>
    <w:rsid w:val="00C26007"/>
    <w:rsid w:val="00C279B5"/>
    <w:rsid w:val="00C27C45"/>
    <w:rsid w:val="00C3137E"/>
    <w:rsid w:val="00C31BA5"/>
    <w:rsid w:val="00C31D66"/>
    <w:rsid w:val="00C32FA7"/>
    <w:rsid w:val="00C331F5"/>
    <w:rsid w:val="00C33533"/>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739"/>
    <w:rsid w:val="00C45F08"/>
    <w:rsid w:val="00C46B7B"/>
    <w:rsid w:val="00C500B5"/>
    <w:rsid w:val="00C5010D"/>
    <w:rsid w:val="00C5097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712"/>
    <w:rsid w:val="00C62910"/>
    <w:rsid w:val="00C62A76"/>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8F3"/>
    <w:rsid w:val="00C72EF4"/>
    <w:rsid w:val="00C740A9"/>
    <w:rsid w:val="00C7412A"/>
    <w:rsid w:val="00C754E8"/>
    <w:rsid w:val="00C755E3"/>
    <w:rsid w:val="00C75D2F"/>
    <w:rsid w:val="00C76D90"/>
    <w:rsid w:val="00C76E3C"/>
    <w:rsid w:val="00C77624"/>
    <w:rsid w:val="00C8085D"/>
    <w:rsid w:val="00C81568"/>
    <w:rsid w:val="00C82387"/>
    <w:rsid w:val="00C82773"/>
    <w:rsid w:val="00C82DFE"/>
    <w:rsid w:val="00C830E3"/>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A4A"/>
    <w:rsid w:val="00C95B40"/>
    <w:rsid w:val="00C966F9"/>
    <w:rsid w:val="00C96B2C"/>
    <w:rsid w:val="00C97567"/>
    <w:rsid w:val="00C97A5F"/>
    <w:rsid w:val="00C97EA2"/>
    <w:rsid w:val="00CA0036"/>
    <w:rsid w:val="00CA0A65"/>
    <w:rsid w:val="00CA17EF"/>
    <w:rsid w:val="00CA1ED8"/>
    <w:rsid w:val="00CA2AF5"/>
    <w:rsid w:val="00CA2CE3"/>
    <w:rsid w:val="00CA38D6"/>
    <w:rsid w:val="00CA39A2"/>
    <w:rsid w:val="00CA3A68"/>
    <w:rsid w:val="00CA3DFD"/>
    <w:rsid w:val="00CA4E1A"/>
    <w:rsid w:val="00CA59E2"/>
    <w:rsid w:val="00CA5D20"/>
    <w:rsid w:val="00CA6781"/>
    <w:rsid w:val="00CB0F89"/>
    <w:rsid w:val="00CB1F63"/>
    <w:rsid w:val="00CB2067"/>
    <w:rsid w:val="00CB37DE"/>
    <w:rsid w:val="00CB4899"/>
    <w:rsid w:val="00CB4D5A"/>
    <w:rsid w:val="00CB6855"/>
    <w:rsid w:val="00CB6997"/>
    <w:rsid w:val="00CB79B1"/>
    <w:rsid w:val="00CC040E"/>
    <w:rsid w:val="00CC05E6"/>
    <w:rsid w:val="00CC111F"/>
    <w:rsid w:val="00CC1E1C"/>
    <w:rsid w:val="00CC36AB"/>
    <w:rsid w:val="00CC3806"/>
    <w:rsid w:val="00CC3E12"/>
    <w:rsid w:val="00CC3EA0"/>
    <w:rsid w:val="00CC469C"/>
    <w:rsid w:val="00CC4E43"/>
    <w:rsid w:val="00CC4E56"/>
    <w:rsid w:val="00CC51F4"/>
    <w:rsid w:val="00CC5C3E"/>
    <w:rsid w:val="00CC5D4D"/>
    <w:rsid w:val="00CC66FA"/>
    <w:rsid w:val="00CC67A1"/>
    <w:rsid w:val="00CC71A0"/>
    <w:rsid w:val="00CC7B45"/>
    <w:rsid w:val="00CD0B1E"/>
    <w:rsid w:val="00CD1188"/>
    <w:rsid w:val="00CD15BB"/>
    <w:rsid w:val="00CD2ED1"/>
    <w:rsid w:val="00CD337B"/>
    <w:rsid w:val="00CD4CD9"/>
    <w:rsid w:val="00CD63B2"/>
    <w:rsid w:val="00CD652C"/>
    <w:rsid w:val="00CD6B8F"/>
    <w:rsid w:val="00CD6CA5"/>
    <w:rsid w:val="00CD6FCC"/>
    <w:rsid w:val="00CD7B72"/>
    <w:rsid w:val="00CE0744"/>
    <w:rsid w:val="00CE0F52"/>
    <w:rsid w:val="00CE1237"/>
    <w:rsid w:val="00CE1A49"/>
    <w:rsid w:val="00CE277C"/>
    <w:rsid w:val="00CE292F"/>
    <w:rsid w:val="00CE2C47"/>
    <w:rsid w:val="00CE3071"/>
    <w:rsid w:val="00CE4A12"/>
    <w:rsid w:val="00CE4B16"/>
    <w:rsid w:val="00CE4F28"/>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2AA7"/>
    <w:rsid w:val="00D0349B"/>
    <w:rsid w:val="00D04EAA"/>
    <w:rsid w:val="00D05A48"/>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12E2"/>
    <w:rsid w:val="00D21443"/>
    <w:rsid w:val="00D21AA1"/>
    <w:rsid w:val="00D235FD"/>
    <w:rsid w:val="00D239A7"/>
    <w:rsid w:val="00D23F47"/>
    <w:rsid w:val="00D248DC"/>
    <w:rsid w:val="00D24B5D"/>
    <w:rsid w:val="00D25297"/>
    <w:rsid w:val="00D25F93"/>
    <w:rsid w:val="00D26C60"/>
    <w:rsid w:val="00D26F4D"/>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2AFC"/>
    <w:rsid w:val="00D4318F"/>
    <w:rsid w:val="00D4329B"/>
    <w:rsid w:val="00D434F3"/>
    <w:rsid w:val="00D438BF"/>
    <w:rsid w:val="00D440F8"/>
    <w:rsid w:val="00D44CD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492"/>
    <w:rsid w:val="00D546FF"/>
    <w:rsid w:val="00D54E3E"/>
    <w:rsid w:val="00D55085"/>
    <w:rsid w:val="00D551ED"/>
    <w:rsid w:val="00D55AD5"/>
    <w:rsid w:val="00D55DC1"/>
    <w:rsid w:val="00D576CA"/>
    <w:rsid w:val="00D57FA3"/>
    <w:rsid w:val="00D61AF5"/>
    <w:rsid w:val="00D61E32"/>
    <w:rsid w:val="00D62095"/>
    <w:rsid w:val="00D63D1A"/>
    <w:rsid w:val="00D64B69"/>
    <w:rsid w:val="00D65204"/>
    <w:rsid w:val="00D652B5"/>
    <w:rsid w:val="00D657F4"/>
    <w:rsid w:val="00D65966"/>
    <w:rsid w:val="00D65C07"/>
    <w:rsid w:val="00D66499"/>
    <w:rsid w:val="00D6722F"/>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4E2F"/>
    <w:rsid w:val="00D85D70"/>
    <w:rsid w:val="00D871CE"/>
    <w:rsid w:val="00D87270"/>
    <w:rsid w:val="00D87AD6"/>
    <w:rsid w:val="00D91078"/>
    <w:rsid w:val="00D9127D"/>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7F9"/>
    <w:rsid w:val="00DB377D"/>
    <w:rsid w:val="00DB50C5"/>
    <w:rsid w:val="00DB59AD"/>
    <w:rsid w:val="00DB5A13"/>
    <w:rsid w:val="00DB6054"/>
    <w:rsid w:val="00DB6E10"/>
    <w:rsid w:val="00DB6FD5"/>
    <w:rsid w:val="00DC0BB6"/>
    <w:rsid w:val="00DC112E"/>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518"/>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3FFD"/>
    <w:rsid w:val="00DF47EF"/>
    <w:rsid w:val="00DF4819"/>
    <w:rsid w:val="00DF507A"/>
    <w:rsid w:val="00DF5CEF"/>
    <w:rsid w:val="00DF6C7A"/>
    <w:rsid w:val="00DF6FCF"/>
    <w:rsid w:val="00DF7DB1"/>
    <w:rsid w:val="00DF7F58"/>
    <w:rsid w:val="00E013F8"/>
    <w:rsid w:val="00E01521"/>
    <w:rsid w:val="00E0203C"/>
    <w:rsid w:val="00E022FC"/>
    <w:rsid w:val="00E02F50"/>
    <w:rsid w:val="00E04BB2"/>
    <w:rsid w:val="00E05500"/>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0F7"/>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49C9"/>
    <w:rsid w:val="00E758EC"/>
    <w:rsid w:val="00E75B4D"/>
    <w:rsid w:val="00E76421"/>
    <w:rsid w:val="00E76EEA"/>
    <w:rsid w:val="00E7776E"/>
    <w:rsid w:val="00E77CE1"/>
    <w:rsid w:val="00E80928"/>
    <w:rsid w:val="00E80F82"/>
    <w:rsid w:val="00E8234C"/>
    <w:rsid w:val="00E823A5"/>
    <w:rsid w:val="00E824BF"/>
    <w:rsid w:val="00E82C8E"/>
    <w:rsid w:val="00E82FA4"/>
    <w:rsid w:val="00E83542"/>
    <w:rsid w:val="00E8360C"/>
    <w:rsid w:val="00E83B48"/>
    <w:rsid w:val="00E84453"/>
    <w:rsid w:val="00E84706"/>
    <w:rsid w:val="00E84B86"/>
    <w:rsid w:val="00E8504A"/>
    <w:rsid w:val="00E851D4"/>
    <w:rsid w:val="00E85443"/>
    <w:rsid w:val="00E85928"/>
    <w:rsid w:val="00E85FDD"/>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512C"/>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7237"/>
    <w:rsid w:val="00EB731E"/>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E29"/>
    <w:rsid w:val="00EC71CE"/>
    <w:rsid w:val="00EC7858"/>
    <w:rsid w:val="00ED00DD"/>
    <w:rsid w:val="00ED1006"/>
    <w:rsid w:val="00ED2A60"/>
    <w:rsid w:val="00ED3808"/>
    <w:rsid w:val="00ED454D"/>
    <w:rsid w:val="00ED4AFA"/>
    <w:rsid w:val="00ED635F"/>
    <w:rsid w:val="00ED6BD6"/>
    <w:rsid w:val="00ED6E55"/>
    <w:rsid w:val="00ED78C9"/>
    <w:rsid w:val="00EE0D13"/>
    <w:rsid w:val="00EE1F98"/>
    <w:rsid w:val="00EE280C"/>
    <w:rsid w:val="00EE28F5"/>
    <w:rsid w:val="00EE35AB"/>
    <w:rsid w:val="00EE6B5A"/>
    <w:rsid w:val="00EE7CE1"/>
    <w:rsid w:val="00EF00FF"/>
    <w:rsid w:val="00EF18FE"/>
    <w:rsid w:val="00EF2981"/>
    <w:rsid w:val="00EF3591"/>
    <w:rsid w:val="00EF3AD5"/>
    <w:rsid w:val="00EF3D20"/>
    <w:rsid w:val="00EF53CD"/>
    <w:rsid w:val="00EF5787"/>
    <w:rsid w:val="00EF5E6B"/>
    <w:rsid w:val="00EF60D0"/>
    <w:rsid w:val="00EF7C03"/>
    <w:rsid w:val="00F00459"/>
    <w:rsid w:val="00F00A11"/>
    <w:rsid w:val="00F01A5F"/>
    <w:rsid w:val="00F01AA2"/>
    <w:rsid w:val="00F0404A"/>
    <w:rsid w:val="00F04161"/>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366D"/>
    <w:rsid w:val="00F13946"/>
    <w:rsid w:val="00F15491"/>
    <w:rsid w:val="00F15FA5"/>
    <w:rsid w:val="00F163C6"/>
    <w:rsid w:val="00F1664B"/>
    <w:rsid w:val="00F168FA"/>
    <w:rsid w:val="00F16A6F"/>
    <w:rsid w:val="00F16F27"/>
    <w:rsid w:val="00F16F51"/>
    <w:rsid w:val="00F1733E"/>
    <w:rsid w:val="00F209B7"/>
    <w:rsid w:val="00F21135"/>
    <w:rsid w:val="00F21C5E"/>
    <w:rsid w:val="00F22ACA"/>
    <w:rsid w:val="00F23D23"/>
    <w:rsid w:val="00F243D8"/>
    <w:rsid w:val="00F243E4"/>
    <w:rsid w:val="00F26E23"/>
    <w:rsid w:val="00F276AD"/>
    <w:rsid w:val="00F27994"/>
    <w:rsid w:val="00F27FAF"/>
    <w:rsid w:val="00F30457"/>
    <w:rsid w:val="00F30648"/>
    <w:rsid w:val="00F30828"/>
    <w:rsid w:val="00F313D6"/>
    <w:rsid w:val="00F31EE4"/>
    <w:rsid w:val="00F32194"/>
    <w:rsid w:val="00F33417"/>
    <w:rsid w:val="00F3387A"/>
    <w:rsid w:val="00F34480"/>
    <w:rsid w:val="00F34B14"/>
    <w:rsid w:val="00F34EDE"/>
    <w:rsid w:val="00F351B8"/>
    <w:rsid w:val="00F35D41"/>
    <w:rsid w:val="00F35DDC"/>
    <w:rsid w:val="00F35F56"/>
    <w:rsid w:val="00F36E1A"/>
    <w:rsid w:val="00F376AF"/>
    <w:rsid w:val="00F3773E"/>
    <w:rsid w:val="00F41114"/>
    <w:rsid w:val="00F411BE"/>
    <w:rsid w:val="00F413CC"/>
    <w:rsid w:val="00F41F5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2945"/>
    <w:rsid w:val="00F6302A"/>
    <w:rsid w:val="00F63838"/>
    <w:rsid w:val="00F643D1"/>
    <w:rsid w:val="00F64C2B"/>
    <w:rsid w:val="00F64DC0"/>
    <w:rsid w:val="00F651BE"/>
    <w:rsid w:val="00F65F27"/>
    <w:rsid w:val="00F67E37"/>
    <w:rsid w:val="00F67F53"/>
    <w:rsid w:val="00F70104"/>
    <w:rsid w:val="00F703BE"/>
    <w:rsid w:val="00F71E5E"/>
    <w:rsid w:val="00F71F69"/>
    <w:rsid w:val="00F72B72"/>
    <w:rsid w:val="00F73595"/>
    <w:rsid w:val="00F745E4"/>
    <w:rsid w:val="00F74BB9"/>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7F"/>
    <w:rsid w:val="00F90F8D"/>
    <w:rsid w:val="00F911B6"/>
    <w:rsid w:val="00F918FA"/>
    <w:rsid w:val="00F91ADD"/>
    <w:rsid w:val="00F91C3C"/>
    <w:rsid w:val="00F91DF0"/>
    <w:rsid w:val="00F92782"/>
    <w:rsid w:val="00F9378A"/>
    <w:rsid w:val="00F93AA9"/>
    <w:rsid w:val="00F963B0"/>
    <w:rsid w:val="00F96985"/>
    <w:rsid w:val="00F96B5B"/>
    <w:rsid w:val="00F97838"/>
    <w:rsid w:val="00FA007C"/>
    <w:rsid w:val="00FA070D"/>
    <w:rsid w:val="00FA107A"/>
    <w:rsid w:val="00FA1336"/>
    <w:rsid w:val="00FA1A18"/>
    <w:rsid w:val="00FA20F7"/>
    <w:rsid w:val="00FA2205"/>
    <w:rsid w:val="00FA2283"/>
    <w:rsid w:val="00FA22F2"/>
    <w:rsid w:val="00FA22F8"/>
    <w:rsid w:val="00FA2A95"/>
    <w:rsid w:val="00FA2BB3"/>
    <w:rsid w:val="00FA389F"/>
    <w:rsid w:val="00FA4703"/>
    <w:rsid w:val="00FA4908"/>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D07F6"/>
    <w:rsid w:val="00FD096B"/>
    <w:rsid w:val="00FD0F09"/>
    <w:rsid w:val="00FD1872"/>
    <w:rsid w:val="00FD1EC8"/>
    <w:rsid w:val="00FD2E88"/>
    <w:rsid w:val="00FD3B87"/>
    <w:rsid w:val="00FD4578"/>
    <w:rsid w:val="00FD47ED"/>
    <w:rsid w:val="00FD710F"/>
    <w:rsid w:val="00FD74DB"/>
    <w:rsid w:val="00FD75E6"/>
    <w:rsid w:val="00FD7660"/>
    <w:rsid w:val="00FD7894"/>
    <w:rsid w:val="00FD7BE1"/>
    <w:rsid w:val="00FE0490"/>
    <w:rsid w:val="00FE0655"/>
    <w:rsid w:val="00FE1F53"/>
    <w:rsid w:val="00FE220A"/>
    <w:rsid w:val="00FE2365"/>
    <w:rsid w:val="00FE32C1"/>
    <w:rsid w:val="00FE37D0"/>
    <w:rsid w:val="00FE48EB"/>
    <w:rsid w:val="00FE4C7B"/>
    <w:rsid w:val="00FE4D7E"/>
    <w:rsid w:val="00FE5659"/>
    <w:rsid w:val="00FE57B9"/>
    <w:rsid w:val="00FE67E0"/>
    <w:rsid w:val="00FE6B82"/>
    <w:rsid w:val="00FE7336"/>
    <w:rsid w:val="00FE787C"/>
    <w:rsid w:val="00FE7F13"/>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58F"/>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96411D"/>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2.xml><?xml version="1.0" encoding="utf-8"?>
<ds:datastoreItem xmlns:ds="http://schemas.openxmlformats.org/officeDocument/2006/customXml" ds:itemID="{97FEAFD7-CFCE-41EA-97AC-1B693E3A8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1150</Words>
  <Characters>6560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7695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2017-08-11T20:04:00Z</dcterms:created>
  <dcterms:modified xsi:type="dcterms:W3CDTF">2017-08-11T20:04:00Z</dcterms:modified>
  <cp:category/>
</cp:coreProperties>
</file>